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6A0" w:rsidRPr="00A57EFA" w:rsidRDefault="00A760B3" w:rsidP="00095874">
      <w:pPr>
        <w:pStyle w:val="Bezmez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  <w:lang w:val="cs-CZ" w:eastAsia="cs-CZ"/>
        </w:rPr>
        <w:drawing>
          <wp:inline distT="0" distB="0" distL="0" distR="0" wp14:anchorId="25A5071C" wp14:editId="470E79A4">
            <wp:extent cx="2197100" cy="533400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75D" w:rsidRPr="00A57EFA">
        <w:rPr>
          <w:rFonts w:ascii="Arial" w:hAnsi="Arial" w:cs="Arial"/>
          <w:sz w:val="22"/>
          <w:szCs w:val="22"/>
        </w:rPr>
        <w:tab/>
      </w:r>
      <w:r w:rsidR="00D4775D" w:rsidRPr="00A57EFA">
        <w:rPr>
          <w:rFonts w:ascii="Arial" w:hAnsi="Arial" w:cs="Arial"/>
          <w:sz w:val="22"/>
          <w:szCs w:val="22"/>
        </w:rPr>
        <w:tab/>
      </w:r>
    </w:p>
    <w:tbl>
      <w:tblPr>
        <w:tblpPr w:leftFromText="141" w:rightFromText="141" w:vertAnchor="page" w:horzAnchor="page" w:tblpX="8012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2763"/>
      </w:tblGrid>
      <w:tr w:rsidR="00E766A0" w:rsidRPr="00A57EFA" w:rsidTr="00F87813">
        <w:trPr>
          <w:trHeight w:val="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A0" w:rsidRPr="00A57EFA" w:rsidRDefault="003B4EA4" w:rsidP="003B4EA4">
            <w:pPr>
              <w:keepNext/>
              <w:tabs>
                <w:tab w:val="center" w:pos="2118"/>
              </w:tabs>
              <w:jc w:val="center"/>
              <w:outlineLvl w:val="3"/>
              <w:rPr>
                <w:rFonts w:ascii="Arial" w:eastAsia="SimSun" w:hAnsi="Arial" w:cs="Arial"/>
                <w:b/>
                <w:sz w:val="22"/>
                <w:szCs w:val="22"/>
                <w:lang w:val="en-GB" w:eastAsia="zh-CN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val="en-GB" w:eastAsia="zh-CN"/>
              </w:rPr>
              <w:t>AgendaItem 14</w:t>
            </w:r>
          </w:p>
        </w:tc>
      </w:tr>
      <w:tr w:rsidR="00E766A0" w:rsidRPr="004A4F52" w:rsidTr="00F87813">
        <w:trPr>
          <w:trHeight w:val="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A0" w:rsidRPr="00A57EFA" w:rsidRDefault="00E766A0" w:rsidP="00E91DE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v-SE" w:eastAsia="sv-SE"/>
              </w:rPr>
            </w:pPr>
            <w:r w:rsidRPr="00A57EFA">
              <w:rPr>
                <w:rFonts w:ascii="Arial" w:hAnsi="Arial" w:cs="Arial"/>
                <w:b/>
                <w:bCs/>
                <w:sz w:val="22"/>
                <w:szCs w:val="22"/>
                <w:lang w:val="sv-SE" w:eastAsia="sv-SE"/>
              </w:rPr>
              <w:t xml:space="preserve">Resolutions of the </w:t>
            </w:r>
            <w:r w:rsidR="001F49E4" w:rsidRPr="00A57EFA">
              <w:rPr>
                <w:rFonts w:ascii="Arial" w:hAnsi="Arial" w:cs="Arial"/>
                <w:b/>
                <w:bCs/>
                <w:sz w:val="22"/>
                <w:szCs w:val="22"/>
                <w:lang w:val="sv-SE" w:eastAsia="sv-SE"/>
              </w:rPr>
              <w:t>3</w:t>
            </w:r>
            <w:r w:rsidR="00E91DED">
              <w:rPr>
                <w:rFonts w:ascii="Arial" w:hAnsi="Arial" w:cs="Arial"/>
                <w:b/>
                <w:bCs/>
                <w:sz w:val="22"/>
                <w:szCs w:val="22"/>
                <w:lang w:val="sv-SE" w:eastAsia="sv-SE"/>
              </w:rPr>
              <w:t xml:space="preserve">8th </w:t>
            </w:r>
            <w:r w:rsidRPr="00A57EFA">
              <w:rPr>
                <w:rFonts w:ascii="Arial" w:hAnsi="Arial" w:cs="Arial"/>
                <w:b/>
                <w:bCs/>
                <w:sz w:val="22"/>
                <w:szCs w:val="22"/>
                <w:lang w:val="sv-SE" w:eastAsia="sv-SE"/>
              </w:rPr>
              <w:t>EA GA</w:t>
            </w:r>
          </w:p>
        </w:tc>
      </w:tr>
      <w:tr w:rsidR="00E766A0" w:rsidRPr="00A57EFA" w:rsidTr="00F87813">
        <w:trPr>
          <w:trHeight w:val="29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A0" w:rsidRPr="00A57EFA" w:rsidRDefault="00E91DED" w:rsidP="0082296D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da-DK" w:eastAsia="da-DK"/>
              </w:rPr>
            </w:pPr>
            <w:r w:rsidRPr="00CF3A43">
              <w:rPr>
                <w:rFonts w:ascii="Arial" w:eastAsia="Arial Unicode MS" w:hAnsi="Arial" w:cs="Arial"/>
                <w:b/>
                <w:bCs/>
                <w:sz w:val="22"/>
                <w:szCs w:val="22"/>
                <w:lang w:val="da-DK" w:eastAsia="da-DK"/>
              </w:rPr>
              <w:t>EAGA(16</w:t>
            </w:r>
            <w:r w:rsidR="00E766A0" w:rsidRPr="00CF3A43">
              <w:rPr>
                <w:rFonts w:ascii="Arial" w:eastAsia="Arial Unicode MS" w:hAnsi="Arial" w:cs="Arial"/>
                <w:b/>
                <w:bCs/>
                <w:sz w:val="22"/>
                <w:szCs w:val="22"/>
                <w:lang w:val="da-DK" w:eastAsia="da-DK"/>
              </w:rPr>
              <w:t>)</w:t>
            </w:r>
            <w:r w:rsidR="006101BD">
              <w:rPr>
                <w:rFonts w:ascii="Arial" w:eastAsia="Arial Unicode MS" w:hAnsi="Arial" w:cs="Arial"/>
                <w:b/>
                <w:bCs/>
                <w:sz w:val="22"/>
                <w:szCs w:val="22"/>
                <w:lang w:val="da-DK" w:eastAsia="da-DK"/>
              </w:rPr>
              <w:t>109</w:t>
            </w:r>
            <w:r w:rsidR="00252A82">
              <w:rPr>
                <w:rFonts w:ascii="Arial" w:eastAsia="Arial Unicode MS" w:hAnsi="Arial" w:cs="Arial"/>
                <w:b/>
                <w:bCs/>
                <w:sz w:val="22"/>
                <w:szCs w:val="22"/>
                <w:lang w:val="da-DK" w:eastAsia="da-DK"/>
              </w:rPr>
              <w:t>rev</w:t>
            </w:r>
            <w:r w:rsidR="001F14DA" w:rsidRPr="00A57EFA">
              <w:rPr>
                <w:rFonts w:ascii="Arial" w:eastAsia="Arial Unicode MS" w:hAnsi="Arial" w:cs="Arial"/>
                <w:b/>
                <w:bCs/>
                <w:sz w:val="22"/>
                <w:szCs w:val="22"/>
                <w:lang w:val="da-DK" w:eastAsia="da-DK"/>
              </w:rPr>
              <w:t xml:space="preserve"> </w:t>
            </w:r>
            <w:r w:rsidR="0082296D" w:rsidRPr="00A57EFA">
              <w:rPr>
                <w:rFonts w:ascii="Arial" w:eastAsia="Arial Unicode MS" w:hAnsi="Arial" w:cs="Arial"/>
                <w:b/>
                <w:bCs/>
                <w:sz w:val="22"/>
                <w:szCs w:val="22"/>
                <w:lang w:val="da-DK" w:eastAsia="da-DK"/>
              </w:rPr>
              <w:t>Final draft</w:t>
            </w:r>
          </w:p>
        </w:tc>
      </w:tr>
      <w:tr w:rsidR="00E766A0" w:rsidRPr="00A57EFA" w:rsidTr="00F87813">
        <w:trPr>
          <w:trHeight w:val="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A0" w:rsidRPr="00A57EFA" w:rsidRDefault="00E766A0" w:rsidP="00F87813">
            <w:pPr>
              <w:jc w:val="center"/>
              <w:rPr>
                <w:rFonts w:ascii="Arial" w:hAnsi="Arial" w:cs="Arial"/>
                <w:sz w:val="22"/>
                <w:szCs w:val="22"/>
                <w:lang w:val="sv-SE" w:eastAsia="sv-SE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A0" w:rsidRPr="00A57EFA" w:rsidRDefault="00E766A0" w:rsidP="00F87813">
            <w:pPr>
              <w:keepNext/>
              <w:outlineLvl w:val="0"/>
              <w:rPr>
                <w:rFonts w:ascii="Arial" w:hAnsi="Arial" w:cs="Arial"/>
                <w:bCs/>
                <w:kern w:val="32"/>
                <w:sz w:val="22"/>
                <w:szCs w:val="22"/>
                <w:lang w:val="fi-FI" w:eastAsia="fi-FI"/>
              </w:rPr>
            </w:pPr>
            <w:r w:rsidRPr="00A57EFA">
              <w:rPr>
                <w:rFonts w:ascii="Arial" w:hAnsi="Arial" w:cs="Arial"/>
                <w:bCs/>
                <w:kern w:val="32"/>
                <w:sz w:val="22"/>
                <w:szCs w:val="22"/>
                <w:lang w:val="fi-FI" w:eastAsia="fi-FI"/>
              </w:rPr>
              <w:t>For Information</w:t>
            </w:r>
          </w:p>
        </w:tc>
      </w:tr>
      <w:tr w:rsidR="00E766A0" w:rsidRPr="00A57EFA" w:rsidTr="00F87813">
        <w:trPr>
          <w:trHeight w:val="1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A0" w:rsidRPr="00A57EFA" w:rsidRDefault="00E766A0" w:rsidP="00F87813">
            <w:pPr>
              <w:keepNext/>
              <w:jc w:val="center"/>
              <w:outlineLvl w:val="2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A0" w:rsidRPr="00A57EFA" w:rsidRDefault="00E766A0" w:rsidP="00F87813">
            <w:pPr>
              <w:rPr>
                <w:rFonts w:ascii="Arial" w:hAnsi="Arial" w:cs="Arial"/>
                <w:sz w:val="22"/>
                <w:szCs w:val="22"/>
                <w:lang w:val="sv-SE" w:eastAsia="sv-SE"/>
              </w:rPr>
            </w:pPr>
            <w:r w:rsidRPr="00A57EFA">
              <w:rPr>
                <w:rFonts w:ascii="Arial" w:hAnsi="Arial" w:cs="Arial"/>
                <w:sz w:val="22"/>
                <w:szCs w:val="22"/>
                <w:lang w:val="sv-SE" w:eastAsia="sv-SE"/>
              </w:rPr>
              <w:t>For Discussion</w:t>
            </w:r>
          </w:p>
        </w:tc>
      </w:tr>
      <w:tr w:rsidR="00E766A0" w:rsidRPr="00A57EFA" w:rsidTr="00F87813">
        <w:trPr>
          <w:trHeight w:val="1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A0" w:rsidRPr="00A57EFA" w:rsidRDefault="00E766A0" w:rsidP="00F8781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v-SE" w:eastAsia="sv-SE"/>
              </w:rPr>
            </w:pPr>
            <w:r w:rsidRPr="00A57EFA">
              <w:rPr>
                <w:rFonts w:ascii="Arial" w:hAnsi="Arial" w:cs="Arial"/>
                <w:b/>
                <w:sz w:val="22"/>
                <w:szCs w:val="22"/>
                <w:lang w:val="sv-SE" w:eastAsia="sv-SE"/>
              </w:rPr>
              <w:t>X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A0" w:rsidRPr="00A57EFA" w:rsidRDefault="00E766A0" w:rsidP="00F87813">
            <w:pPr>
              <w:rPr>
                <w:rFonts w:ascii="Arial" w:hAnsi="Arial" w:cs="Arial"/>
                <w:b/>
                <w:sz w:val="22"/>
                <w:szCs w:val="22"/>
                <w:lang w:val="sv-SE" w:eastAsia="sv-SE"/>
              </w:rPr>
            </w:pPr>
            <w:r w:rsidRPr="00A57EFA">
              <w:rPr>
                <w:rFonts w:ascii="Arial" w:hAnsi="Arial" w:cs="Arial"/>
                <w:b/>
                <w:sz w:val="22"/>
                <w:szCs w:val="22"/>
                <w:lang w:val="sv-SE" w:eastAsia="sv-SE"/>
              </w:rPr>
              <w:t>For Approval</w:t>
            </w:r>
          </w:p>
        </w:tc>
      </w:tr>
    </w:tbl>
    <w:p w:rsidR="00167BC9" w:rsidRPr="00A57EFA" w:rsidRDefault="00167BC9" w:rsidP="00FA09FC">
      <w:pPr>
        <w:pStyle w:val="Nzev"/>
        <w:tabs>
          <w:tab w:val="left" w:pos="7371"/>
        </w:tabs>
        <w:ind w:firstLine="3"/>
        <w:jc w:val="both"/>
        <w:rPr>
          <w:rFonts w:cs="Arial"/>
          <w:sz w:val="22"/>
          <w:szCs w:val="22"/>
        </w:rPr>
      </w:pPr>
    </w:p>
    <w:p w:rsidR="00167BC9" w:rsidRPr="00A57EFA" w:rsidRDefault="00167BC9" w:rsidP="00F757B6">
      <w:pPr>
        <w:pStyle w:val="Nzev"/>
        <w:tabs>
          <w:tab w:val="left" w:pos="5670"/>
        </w:tabs>
        <w:ind w:firstLine="3"/>
        <w:jc w:val="left"/>
        <w:rPr>
          <w:rFonts w:cs="Arial"/>
          <w:b w:val="0"/>
          <w:sz w:val="22"/>
          <w:szCs w:val="22"/>
        </w:rPr>
      </w:pPr>
      <w:r w:rsidRPr="00A57EFA">
        <w:rPr>
          <w:rFonts w:cs="Arial"/>
          <w:sz w:val="22"/>
          <w:szCs w:val="22"/>
        </w:rPr>
        <w:tab/>
      </w:r>
    </w:p>
    <w:p w:rsidR="00D4775D" w:rsidRPr="00A57EFA" w:rsidRDefault="004A4F52" w:rsidP="00D4775D">
      <w:pPr>
        <w:pStyle w:val="Nzev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APPROVED</w:t>
      </w:r>
      <w:r w:rsidR="007C0071">
        <w:rPr>
          <w:rFonts w:cs="Arial"/>
          <w:sz w:val="22"/>
          <w:szCs w:val="22"/>
        </w:rPr>
        <w:t xml:space="preserve"> </w:t>
      </w:r>
      <w:r w:rsidR="00D4775D" w:rsidRPr="00A57EFA">
        <w:rPr>
          <w:rFonts w:cs="Arial"/>
          <w:sz w:val="22"/>
          <w:szCs w:val="22"/>
        </w:rPr>
        <w:t xml:space="preserve">RESOLUTIONS </w:t>
      </w:r>
      <w:r>
        <w:rPr>
          <w:rFonts w:cs="Arial"/>
          <w:sz w:val="22"/>
          <w:szCs w:val="22"/>
        </w:rPr>
        <w:t>OF</w:t>
      </w:r>
      <w:r w:rsidR="00D4775D" w:rsidRPr="00A57EFA">
        <w:rPr>
          <w:rFonts w:cs="Arial"/>
          <w:sz w:val="22"/>
          <w:szCs w:val="22"/>
        </w:rPr>
        <w:t xml:space="preserve"> THE </w:t>
      </w:r>
      <w:r w:rsidR="00E91DED">
        <w:rPr>
          <w:rFonts w:cs="Arial"/>
          <w:sz w:val="22"/>
          <w:szCs w:val="22"/>
        </w:rPr>
        <w:t>38</w:t>
      </w:r>
      <w:r w:rsidR="00711BD9" w:rsidRPr="00A57EFA">
        <w:rPr>
          <w:rFonts w:cs="Arial"/>
          <w:sz w:val="22"/>
          <w:szCs w:val="22"/>
          <w:vertAlign w:val="superscript"/>
        </w:rPr>
        <w:t>th</w:t>
      </w:r>
      <w:r w:rsidR="00711BD9" w:rsidRPr="00A57EFA">
        <w:rPr>
          <w:rFonts w:cs="Arial"/>
          <w:sz w:val="22"/>
          <w:szCs w:val="22"/>
        </w:rPr>
        <w:t xml:space="preserve"> </w:t>
      </w:r>
      <w:r w:rsidR="00D4775D" w:rsidRPr="00A57EFA">
        <w:rPr>
          <w:rFonts w:cs="Arial"/>
          <w:sz w:val="22"/>
          <w:szCs w:val="22"/>
        </w:rPr>
        <w:t>EA GENERAL ASSEMBLY</w:t>
      </w:r>
    </w:p>
    <w:p w:rsidR="00D4775D" w:rsidRPr="00A57EFA" w:rsidRDefault="00D4775D" w:rsidP="00D4775D">
      <w:pPr>
        <w:pStyle w:val="Podnadpis"/>
        <w:jc w:val="both"/>
        <w:rPr>
          <w:rFonts w:ascii="Arial" w:hAnsi="Arial" w:cs="Arial"/>
          <w:sz w:val="22"/>
          <w:szCs w:val="22"/>
          <w:lang w:val="en-US"/>
        </w:rPr>
      </w:pPr>
    </w:p>
    <w:p w:rsidR="00D4775D" w:rsidRPr="00A57EFA" w:rsidRDefault="00C9232A" w:rsidP="00D4775D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23</w:t>
      </w:r>
      <w:r w:rsidR="00D4775D" w:rsidRPr="00A57EFA">
        <w:rPr>
          <w:rFonts w:ascii="Arial" w:hAnsi="Arial" w:cs="Arial"/>
          <w:b/>
          <w:bCs/>
          <w:sz w:val="22"/>
          <w:szCs w:val="22"/>
          <w:lang w:val="en-GB"/>
        </w:rPr>
        <w:t xml:space="preserve"> &amp; </w:t>
      </w:r>
      <w:r>
        <w:rPr>
          <w:rFonts w:ascii="Arial" w:hAnsi="Arial" w:cs="Arial"/>
          <w:b/>
          <w:bCs/>
          <w:sz w:val="22"/>
          <w:szCs w:val="22"/>
          <w:lang w:val="en-GB"/>
        </w:rPr>
        <w:t>24</w:t>
      </w:r>
      <w:r w:rsidR="00711BD9" w:rsidRPr="00A57EFA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7A0F53" w:rsidRPr="00A57EFA">
        <w:rPr>
          <w:rFonts w:ascii="Arial" w:hAnsi="Arial" w:cs="Arial"/>
          <w:b/>
          <w:bCs/>
          <w:sz w:val="22"/>
          <w:szCs w:val="22"/>
          <w:lang w:val="en-GB"/>
        </w:rPr>
        <w:t>NOVEMBER</w:t>
      </w:r>
      <w:r w:rsidR="00E91DED">
        <w:rPr>
          <w:rFonts w:ascii="Arial" w:hAnsi="Arial" w:cs="Arial"/>
          <w:b/>
          <w:bCs/>
          <w:sz w:val="22"/>
          <w:szCs w:val="22"/>
          <w:lang w:val="en-GB"/>
        </w:rPr>
        <w:t xml:space="preserve"> 2016</w:t>
      </w:r>
    </w:p>
    <w:p w:rsidR="00D4775D" w:rsidRPr="00A57EFA" w:rsidRDefault="00E91DED" w:rsidP="00D4775D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BORAS</w:t>
      </w:r>
      <w:r w:rsidR="00D4775D" w:rsidRPr="00A57EFA">
        <w:rPr>
          <w:rFonts w:ascii="Arial" w:hAnsi="Arial" w:cs="Arial"/>
          <w:sz w:val="22"/>
          <w:szCs w:val="22"/>
          <w:lang w:val="en-GB"/>
        </w:rPr>
        <w:t xml:space="preserve">, </w:t>
      </w:r>
      <w:r>
        <w:rPr>
          <w:rFonts w:ascii="Arial" w:hAnsi="Arial" w:cs="Arial"/>
          <w:sz w:val="22"/>
          <w:szCs w:val="22"/>
          <w:lang w:val="en-GB"/>
        </w:rPr>
        <w:t>SWEDEN</w:t>
      </w:r>
    </w:p>
    <w:p w:rsidR="00D4775D" w:rsidRPr="00A57EFA" w:rsidRDefault="00D4775D" w:rsidP="00D4775D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1F1386" w:rsidRPr="00A57EFA" w:rsidRDefault="001F1386" w:rsidP="00D4775D">
      <w:pPr>
        <w:pStyle w:val="Nadpis1"/>
        <w:jc w:val="both"/>
        <w:rPr>
          <w:rFonts w:cs="Arial"/>
          <w:sz w:val="22"/>
          <w:szCs w:val="22"/>
        </w:rPr>
      </w:pPr>
    </w:p>
    <w:p w:rsidR="00D4775D" w:rsidRPr="00A57EFA" w:rsidRDefault="00D4775D" w:rsidP="00D4775D">
      <w:pPr>
        <w:pStyle w:val="Nadpis1"/>
        <w:jc w:val="both"/>
        <w:rPr>
          <w:rFonts w:cs="Arial"/>
          <w:sz w:val="22"/>
          <w:szCs w:val="22"/>
        </w:rPr>
      </w:pPr>
      <w:r w:rsidRPr="00A57EFA">
        <w:rPr>
          <w:rFonts w:cs="Arial"/>
          <w:sz w:val="22"/>
          <w:szCs w:val="22"/>
        </w:rPr>
        <w:t xml:space="preserve">EA Resolution </w:t>
      </w:r>
      <w:r w:rsidR="00D54243">
        <w:rPr>
          <w:rFonts w:cs="Arial"/>
          <w:sz w:val="22"/>
          <w:szCs w:val="22"/>
        </w:rPr>
        <w:t>2016 (38)</w:t>
      </w:r>
      <w:r w:rsidR="00561310" w:rsidRPr="00A57EFA">
        <w:rPr>
          <w:rFonts w:cs="Arial"/>
          <w:sz w:val="22"/>
          <w:szCs w:val="22"/>
        </w:rPr>
        <w:t xml:space="preserve"> </w:t>
      </w:r>
      <w:r w:rsidR="00D34FE0" w:rsidRPr="00A57EFA">
        <w:rPr>
          <w:rFonts w:cs="Arial"/>
          <w:sz w:val="22"/>
          <w:szCs w:val="22"/>
        </w:rPr>
        <w:t>01</w:t>
      </w:r>
    </w:p>
    <w:p w:rsidR="00AC2E4D" w:rsidRPr="00A57EFA" w:rsidRDefault="00EF4E2A" w:rsidP="00D4775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A57EFA">
        <w:rPr>
          <w:rFonts w:ascii="Arial" w:hAnsi="Arial" w:cs="Arial"/>
          <w:sz w:val="22"/>
          <w:szCs w:val="22"/>
          <w:lang w:val="en-GB"/>
        </w:rPr>
        <w:t xml:space="preserve">The General Assembly ratifies the results of the electronic </w:t>
      </w:r>
      <w:r w:rsidRPr="00477539">
        <w:rPr>
          <w:rFonts w:ascii="Arial" w:hAnsi="Arial" w:cs="Arial"/>
          <w:sz w:val="22"/>
          <w:szCs w:val="22"/>
          <w:lang w:val="en-GB"/>
        </w:rPr>
        <w:t xml:space="preserve">ballots </w:t>
      </w:r>
      <w:r w:rsidRPr="00A57EFA">
        <w:rPr>
          <w:rFonts w:ascii="Arial" w:hAnsi="Arial" w:cs="Arial"/>
          <w:sz w:val="22"/>
          <w:szCs w:val="22"/>
          <w:lang w:val="en-GB"/>
        </w:rPr>
        <w:t xml:space="preserve">completed </w:t>
      </w:r>
      <w:r w:rsidR="009F1923" w:rsidRPr="00A57EFA">
        <w:rPr>
          <w:rFonts w:ascii="Arial" w:hAnsi="Arial" w:cs="Arial"/>
          <w:sz w:val="22"/>
          <w:szCs w:val="22"/>
          <w:lang w:val="en-GB"/>
        </w:rPr>
        <w:t>sin</w:t>
      </w:r>
      <w:r w:rsidR="007F36AE" w:rsidRPr="00A57EFA">
        <w:rPr>
          <w:rFonts w:ascii="Arial" w:hAnsi="Arial" w:cs="Arial"/>
          <w:sz w:val="22"/>
          <w:szCs w:val="22"/>
          <w:lang w:val="en-GB"/>
        </w:rPr>
        <w:t>c</w:t>
      </w:r>
      <w:r w:rsidR="009F1923" w:rsidRPr="00A57EFA">
        <w:rPr>
          <w:rFonts w:ascii="Arial" w:hAnsi="Arial" w:cs="Arial"/>
          <w:sz w:val="22"/>
          <w:szCs w:val="22"/>
          <w:lang w:val="en-GB"/>
        </w:rPr>
        <w:t>e the last General Assembly meeti</w:t>
      </w:r>
      <w:r w:rsidR="00143CD7" w:rsidRPr="00A57EFA">
        <w:rPr>
          <w:rFonts w:ascii="Arial" w:hAnsi="Arial" w:cs="Arial"/>
          <w:sz w:val="22"/>
          <w:szCs w:val="22"/>
          <w:lang w:val="en-GB"/>
        </w:rPr>
        <w:t xml:space="preserve">ng according to Document </w:t>
      </w:r>
      <w:r w:rsidR="005B3A33" w:rsidRPr="00CF3A43">
        <w:rPr>
          <w:rFonts w:ascii="Arial" w:hAnsi="Arial" w:cs="Arial"/>
          <w:sz w:val="22"/>
          <w:szCs w:val="22"/>
          <w:lang w:val="en-GB"/>
        </w:rPr>
        <w:t>EAGA(16</w:t>
      </w:r>
      <w:r w:rsidR="009F1923" w:rsidRPr="00CF3A43">
        <w:rPr>
          <w:rFonts w:ascii="Arial" w:hAnsi="Arial" w:cs="Arial"/>
          <w:sz w:val="22"/>
          <w:szCs w:val="22"/>
          <w:lang w:val="en-GB"/>
        </w:rPr>
        <w:t>)</w:t>
      </w:r>
      <w:r w:rsidR="00562F9C" w:rsidRPr="00CF3A43">
        <w:rPr>
          <w:rFonts w:ascii="Arial" w:hAnsi="Arial" w:cs="Arial"/>
          <w:sz w:val="22"/>
          <w:szCs w:val="22"/>
          <w:lang w:val="en-GB"/>
        </w:rPr>
        <w:t>101</w:t>
      </w:r>
      <w:r w:rsidR="009F1923" w:rsidRPr="00CF3A43">
        <w:rPr>
          <w:rFonts w:ascii="Arial" w:hAnsi="Arial" w:cs="Arial"/>
          <w:sz w:val="22"/>
          <w:szCs w:val="22"/>
          <w:lang w:val="en-GB"/>
        </w:rPr>
        <w:t>.</w:t>
      </w:r>
    </w:p>
    <w:p w:rsidR="001F14DA" w:rsidRPr="00A57EFA" w:rsidRDefault="001F14DA" w:rsidP="00F33C45">
      <w:pPr>
        <w:tabs>
          <w:tab w:val="left" w:pos="5103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:rsidR="00403C7A" w:rsidRPr="00477539" w:rsidRDefault="004D4E7D" w:rsidP="004D4E7D">
      <w:pPr>
        <w:pStyle w:val="Nadpis1"/>
        <w:jc w:val="both"/>
        <w:rPr>
          <w:rFonts w:cs="Arial"/>
          <w:color w:val="262626" w:themeColor="text1" w:themeTint="D9"/>
          <w:sz w:val="22"/>
          <w:szCs w:val="22"/>
        </w:rPr>
      </w:pPr>
      <w:r w:rsidRPr="00A57EFA">
        <w:rPr>
          <w:rFonts w:cs="Arial"/>
          <w:sz w:val="22"/>
          <w:szCs w:val="22"/>
        </w:rPr>
        <w:t xml:space="preserve">EA Resolution </w:t>
      </w:r>
      <w:r>
        <w:rPr>
          <w:rFonts w:cs="Arial"/>
          <w:sz w:val="22"/>
          <w:szCs w:val="22"/>
        </w:rPr>
        <w:t xml:space="preserve">2016 (38) </w:t>
      </w:r>
      <w:r w:rsidR="00086A7D">
        <w:rPr>
          <w:rFonts w:cs="Arial"/>
          <w:sz w:val="22"/>
          <w:szCs w:val="22"/>
        </w:rPr>
        <w:t>02</w:t>
      </w:r>
    </w:p>
    <w:p w:rsidR="004D4E7D" w:rsidRPr="00A57EFA" w:rsidRDefault="004D4E7D" w:rsidP="004D4E7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A57EFA">
        <w:rPr>
          <w:rFonts w:ascii="Arial" w:hAnsi="Arial" w:cs="Arial"/>
          <w:sz w:val="22"/>
          <w:szCs w:val="22"/>
          <w:lang w:val="en-GB"/>
        </w:rPr>
        <w:t xml:space="preserve">The </w:t>
      </w:r>
      <w:r w:rsidRPr="006101BD">
        <w:rPr>
          <w:rFonts w:ascii="Arial" w:hAnsi="Arial" w:cs="Arial"/>
          <w:sz w:val="22"/>
          <w:szCs w:val="22"/>
          <w:lang w:val="en-GB"/>
        </w:rPr>
        <w:t>General Assembly agrees that the Executive Committee s</w:t>
      </w:r>
      <w:r w:rsidR="00313924" w:rsidRPr="006101BD">
        <w:rPr>
          <w:rFonts w:ascii="Arial" w:hAnsi="Arial" w:cs="Arial"/>
          <w:sz w:val="22"/>
          <w:szCs w:val="22"/>
          <w:lang w:val="en-GB"/>
        </w:rPr>
        <w:t xml:space="preserve">tarts a new work item to revise </w:t>
      </w:r>
      <w:r w:rsidR="00313924" w:rsidRPr="006101BD">
        <w:rPr>
          <w:rFonts w:ascii="Arial" w:hAnsi="Arial" w:cs="Arial"/>
          <w:color w:val="262626" w:themeColor="text1" w:themeTint="D9"/>
          <w:sz w:val="22"/>
          <w:szCs w:val="22"/>
          <w:lang w:val="en-GB"/>
        </w:rPr>
        <w:t>EA-0/07</w:t>
      </w:r>
      <w:r w:rsidR="00313924" w:rsidRPr="006101BD">
        <w:rPr>
          <w:rFonts w:ascii="Arial" w:hAnsi="Arial" w:cs="Arial"/>
          <w:sz w:val="22"/>
          <w:szCs w:val="22"/>
          <w:lang w:val="en-GB"/>
        </w:rPr>
        <w:t xml:space="preserve">: </w:t>
      </w:r>
      <w:r w:rsidR="00313924" w:rsidRPr="006101BD">
        <w:rPr>
          <w:rFonts w:ascii="Arial" w:hAnsi="Arial" w:cs="Arial"/>
          <w:i/>
          <w:sz w:val="22"/>
          <w:szCs w:val="22"/>
          <w:lang w:val="en-GB"/>
        </w:rPr>
        <w:t>EA Procedure for application for EA membership and application form</w:t>
      </w:r>
      <w:r w:rsidR="00313924" w:rsidRPr="006101BD">
        <w:rPr>
          <w:rFonts w:ascii="Arial" w:hAnsi="Arial" w:cs="Arial"/>
          <w:sz w:val="22"/>
          <w:szCs w:val="22"/>
          <w:lang w:val="en-US"/>
        </w:rPr>
        <w:t xml:space="preserve">, </w:t>
      </w:r>
      <w:r w:rsidRPr="006101BD">
        <w:rPr>
          <w:rFonts w:ascii="Arial" w:hAnsi="Arial" w:cs="Arial"/>
          <w:sz w:val="22"/>
          <w:szCs w:val="22"/>
          <w:lang w:val="en-US"/>
        </w:rPr>
        <w:t>taking into account for revision the</w:t>
      </w:r>
      <w:r w:rsidRPr="00A57EFA">
        <w:rPr>
          <w:rFonts w:ascii="Arial" w:hAnsi="Arial" w:cs="Arial"/>
          <w:sz w:val="22"/>
          <w:szCs w:val="22"/>
          <w:lang w:val="en-US"/>
        </w:rPr>
        <w:t xml:space="preserve"> rationale </w:t>
      </w:r>
      <w:r w:rsidR="00313924">
        <w:rPr>
          <w:rFonts w:ascii="Arial" w:hAnsi="Arial" w:cs="Arial"/>
          <w:sz w:val="22"/>
          <w:szCs w:val="22"/>
          <w:lang w:val="en-US"/>
        </w:rPr>
        <w:t>set out in Document EAGA(16)75</w:t>
      </w:r>
      <w:r w:rsidRPr="00A57EFA">
        <w:rPr>
          <w:rFonts w:ascii="Arial" w:hAnsi="Arial" w:cs="Arial"/>
          <w:sz w:val="22"/>
          <w:szCs w:val="22"/>
          <w:lang w:val="en-US"/>
        </w:rPr>
        <w:t>.</w:t>
      </w:r>
    </w:p>
    <w:p w:rsidR="004D4E7D" w:rsidRDefault="004D4E7D" w:rsidP="00A938F1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13924" w:rsidRPr="00A57EFA" w:rsidRDefault="00313924" w:rsidP="00313924">
      <w:pPr>
        <w:pStyle w:val="Nadpis1"/>
        <w:jc w:val="both"/>
        <w:rPr>
          <w:rFonts w:cs="Arial"/>
          <w:sz w:val="22"/>
          <w:szCs w:val="22"/>
        </w:rPr>
      </w:pPr>
      <w:r w:rsidRPr="00A57EFA">
        <w:rPr>
          <w:rFonts w:cs="Arial"/>
          <w:sz w:val="22"/>
          <w:szCs w:val="22"/>
        </w:rPr>
        <w:t xml:space="preserve">EA Resolution </w:t>
      </w:r>
      <w:r>
        <w:rPr>
          <w:rFonts w:cs="Arial"/>
          <w:sz w:val="22"/>
          <w:szCs w:val="22"/>
        </w:rPr>
        <w:t xml:space="preserve">2016 (38) </w:t>
      </w:r>
      <w:r w:rsidR="00086A7D">
        <w:rPr>
          <w:rFonts w:cs="Arial"/>
          <w:sz w:val="22"/>
          <w:szCs w:val="22"/>
        </w:rPr>
        <w:t>03</w:t>
      </w:r>
    </w:p>
    <w:p w:rsidR="00B64BB1" w:rsidRPr="00313924" w:rsidRDefault="00313924" w:rsidP="00A938F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A57EFA">
        <w:rPr>
          <w:rFonts w:ascii="Arial" w:hAnsi="Arial" w:cs="Arial"/>
          <w:sz w:val="22"/>
          <w:szCs w:val="22"/>
          <w:lang w:val="en-GB"/>
        </w:rPr>
        <w:t>The General Assembly agrees that the Executive Committee s</w:t>
      </w:r>
      <w:r>
        <w:rPr>
          <w:rFonts w:ascii="Arial" w:hAnsi="Arial" w:cs="Arial"/>
          <w:sz w:val="22"/>
          <w:szCs w:val="22"/>
          <w:lang w:val="en-GB"/>
        </w:rPr>
        <w:t xml:space="preserve">tarts a new work item to revise </w:t>
      </w:r>
      <w:r w:rsidR="0030474E" w:rsidRPr="006101BD">
        <w:rPr>
          <w:rFonts w:ascii="Arial" w:hAnsi="Arial" w:cs="Arial"/>
          <w:color w:val="262626" w:themeColor="text1" w:themeTint="D9"/>
          <w:sz w:val="22"/>
          <w:szCs w:val="22"/>
          <w:lang w:val="en-GB"/>
        </w:rPr>
        <w:t>EA-1/17</w:t>
      </w:r>
      <w:r w:rsidR="00477539" w:rsidRPr="006101BD">
        <w:rPr>
          <w:rFonts w:ascii="Arial" w:hAnsi="Arial" w:cs="Arial"/>
          <w:color w:val="262626" w:themeColor="text1" w:themeTint="D9"/>
          <w:sz w:val="22"/>
          <w:szCs w:val="22"/>
          <w:lang w:val="en-GB"/>
        </w:rPr>
        <w:t> </w:t>
      </w:r>
      <w:r w:rsidRPr="006101BD">
        <w:rPr>
          <w:rFonts w:ascii="Arial" w:hAnsi="Arial" w:cs="Arial"/>
          <w:color w:val="262626" w:themeColor="text1" w:themeTint="D9"/>
          <w:sz w:val="22"/>
          <w:szCs w:val="22"/>
          <w:lang w:val="en-GB"/>
        </w:rPr>
        <w:t>S4</w:t>
      </w:r>
      <w:r w:rsidRPr="006101BD">
        <w:rPr>
          <w:rFonts w:ascii="Arial" w:hAnsi="Arial" w:cs="Arial"/>
          <w:sz w:val="22"/>
          <w:szCs w:val="22"/>
          <w:lang w:val="en-GB"/>
        </w:rPr>
        <w:t>:</w:t>
      </w:r>
      <w:r w:rsidRPr="00BE3380">
        <w:rPr>
          <w:rFonts w:ascii="Arial" w:hAnsi="Arial" w:cs="Arial"/>
          <w:sz w:val="22"/>
          <w:szCs w:val="22"/>
          <w:lang w:val="en-GB"/>
        </w:rPr>
        <w:t xml:space="preserve"> </w:t>
      </w:r>
      <w:r w:rsidRPr="00BE3380">
        <w:rPr>
          <w:rFonts w:ascii="Arial" w:hAnsi="Arial" w:cs="Arial"/>
          <w:i/>
          <w:sz w:val="22"/>
          <w:szCs w:val="22"/>
          <w:lang w:val="en-GB"/>
        </w:rPr>
        <w:t>Proxy Procedure</w:t>
      </w:r>
      <w:r w:rsidRPr="00BE3380">
        <w:rPr>
          <w:rFonts w:ascii="Arial" w:hAnsi="Arial" w:cs="Arial"/>
          <w:sz w:val="22"/>
          <w:szCs w:val="22"/>
          <w:lang w:val="en-US"/>
        </w:rPr>
        <w:t>, taking into account for revision the rationale set out in Document</w:t>
      </w:r>
      <w:r>
        <w:rPr>
          <w:rFonts w:ascii="Arial" w:hAnsi="Arial" w:cs="Arial"/>
          <w:sz w:val="22"/>
          <w:szCs w:val="22"/>
          <w:lang w:val="en-US"/>
        </w:rPr>
        <w:t xml:space="preserve"> EAGA(16)76</w:t>
      </w:r>
      <w:r w:rsidRPr="00A57EFA">
        <w:rPr>
          <w:rFonts w:ascii="Arial" w:hAnsi="Arial" w:cs="Arial"/>
          <w:sz w:val="22"/>
          <w:szCs w:val="22"/>
          <w:lang w:val="en-US"/>
        </w:rPr>
        <w:t>.</w:t>
      </w:r>
    </w:p>
    <w:p w:rsidR="004D4E7D" w:rsidRDefault="004D4E7D" w:rsidP="00A938F1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6210C9" w:rsidRPr="0066437E" w:rsidRDefault="006210C9" w:rsidP="006210C9">
      <w:p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r w:rsidRPr="0066437E">
        <w:rPr>
          <w:rFonts w:ascii="Arial" w:hAnsi="Arial" w:cs="Arial"/>
          <w:b/>
          <w:i/>
          <w:sz w:val="22"/>
          <w:szCs w:val="22"/>
          <w:lang w:val="en-GB"/>
        </w:rPr>
        <w:t>EA Resolution 2016 (38) 04</w:t>
      </w:r>
    </w:p>
    <w:p w:rsidR="0066437E" w:rsidRDefault="0066437E" w:rsidP="00A938F1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General Assembly received with appreciation the EA Strategy 2025 </w:t>
      </w:r>
      <w:r w:rsidRPr="0066437E">
        <w:rPr>
          <w:rFonts w:ascii="Arial" w:hAnsi="Arial" w:cs="Arial"/>
          <w:sz w:val="22"/>
          <w:szCs w:val="22"/>
          <w:lang w:val="en-GB"/>
        </w:rPr>
        <w:t>(document EAGA(16)90 EA 2025 V6.0 161108)</w:t>
      </w:r>
      <w:r>
        <w:rPr>
          <w:rFonts w:ascii="Arial" w:hAnsi="Arial" w:cs="Arial"/>
          <w:sz w:val="22"/>
          <w:szCs w:val="22"/>
          <w:lang w:val="en-GB"/>
        </w:rPr>
        <w:t xml:space="preserve"> and congratulates the Strategy Project Group and its Project Manager Peter Strömbäck for the excellent work.</w:t>
      </w:r>
    </w:p>
    <w:p w:rsidR="00B64BB1" w:rsidRDefault="006210C9" w:rsidP="00A938F1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General Assembly, acting upon recommendation from the Executive Committee, approves the EA Strategy 2025 (document </w:t>
      </w:r>
      <w:r w:rsidR="0050577C">
        <w:rPr>
          <w:rFonts w:ascii="Arial" w:hAnsi="Arial" w:cs="Arial"/>
          <w:sz w:val="22"/>
          <w:szCs w:val="22"/>
          <w:lang w:val="en-GB"/>
        </w:rPr>
        <w:t>EAGA(16)90</w:t>
      </w:r>
      <w:r>
        <w:rPr>
          <w:rFonts w:ascii="Arial" w:hAnsi="Arial" w:cs="Arial"/>
          <w:sz w:val="22"/>
          <w:szCs w:val="22"/>
          <w:lang w:val="en-GB"/>
        </w:rPr>
        <w:t>).</w:t>
      </w:r>
    </w:p>
    <w:p w:rsidR="006210C9" w:rsidRDefault="006210C9" w:rsidP="00A938F1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Furthermore</w:t>
      </w:r>
      <w:r w:rsidR="0066437E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the General Assembly mandates the Executive Committee to finalize the </w:t>
      </w:r>
      <w:r w:rsidR="005420BD">
        <w:rPr>
          <w:rFonts w:ascii="Arial" w:hAnsi="Arial" w:cs="Arial"/>
          <w:sz w:val="22"/>
          <w:szCs w:val="22"/>
          <w:lang w:val="en-GB"/>
        </w:rPr>
        <w:t xml:space="preserve">draft </w:t>
      </w:r>
      <w:r>
        <w:rPr>
          <w:rFonts w:ascii="Arial" w:hAnsi="Arial" w:cs="Arial"/>
          <w:sz w:val="22"/>
          <w:szCs w:val="22"/>
          <w:lang w:val="en-GB"/>
        </w:rPr>
        <w:t>implementation plan for the EA Strategy 2025</w:t>
      </w:r>
      <w:r w:rsidR="0066437E">
        <w:rPr>
          <w:rFonts w:ascii="Arial" w:hAnsi="Arial" w:cs="Arial"/>
          <w:sz w:val="22"/>
          <w:szCs w:val="22"/>
          <w:lang w:val="en-GB"/>
        </w:rPr>
        <w:t xml:space="preserve"> and to monitor its implementation.</w:t>
      </w:r>
    </w:p>
    <w:p w:rsidR="00B64BB1" w:rsidRDefault="00B64BB1" w:rsidP="00A938F1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4D4E7D" w:rsidRDefault="004D4E7D" w:rsidP="004D4E7D">
      <w:pPr>
        <w:pStyle w:val="Nadpis1"/>
        <w:jc w:val="both"/>
        <w:rPr>
          <w:rFonts w:cs="Arial"/>
          <w:sz w:val="22"/>
          <w:szCs w:val="22"/>
        </w:rPr>
      </w:pPr>
      <w:r w:rsidRPr="00A57EFA">
        <w:rPr>
          <w:rFonts w:cs="Arial"/>
          <w:sz w:val="22"/>
          <w:szCs w:val="22"/>
        </w:rPr>
        <w:t xml:space="preserve">EA Resolution </w:t>
      </w:r>
      <w:r>
        <w:rPr>
          <w:rFonts w:cs="Arial"/>
          <w:sz w:val="22"/>
          <w:szCs w:val="22"/>
        </w:rPr>
        <w:t xml:space="preserve">2016 (38) </w:t>
      </w:r>
      <w:r w:rsidR="0066437E">
        <w:rPr>
          <w:rFonts w:cs="Arial"/>
          <w:sz w:val="22"/>
          <w:szCs w:val="22"/>
        </w:rPr>
        <w:t>05</w:t>
      </w:r>
    </w:p>
    <w:p w:rsidR="00A938F1" w:rsidRPr="00A57EFA" w:rsidRDefault="00DF3946" w:rsidP="00A938F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57EFA">
        <w:rPr>
          <w:rFonts w:ascii="Arial" w:hAnsi="Arial" w:cs="Arial"/>
          <w:sz w:val="22"/>
          <w:szCs w:val="22"/>
          <w:lang w:val="en-GB"/>
        </w:rPr>
        <w:t>The General Assembly, acting upon recommendation from the Executive Committee, approves the</w:t>
      </w:r>
      <w:r w:rsidR="00614892">
        <w:rPr>
          <w:rFonts w:ascii="Arial" w:hAnsi="Arial" w:cs="Arial"/>
          <w:sz w:val="22"/>
          <w:szCs w:val="22"/>
          <w:lang w:val="en-GB"/>
        </w:rPr>
        <w:t xml:space="preserve"> revised</w:t>
      </w:r>
      <w:r w:rsidRPr="00A57EFA">
        <w:rPr>
          <w:rFonts w:ascii="Arial" w:hAnsi="Arial" w:cs="Arial"/>
          <w:sz w:val="22"/>
          <w:szCs w:val="22"/>
          <w:lang w:val="en-GB"/>
        </w:rPr>
        <w:t xml:space="preserve"> </w:t>
      </w:r>
      <w:r w:rsidRPr="006101BD">
        <w:rPr>
          <w:rFonts w:ascii="Arial" w:hAnsi="Arial" w:cs="Arial"/>
          <w:color w:val="262626" w:themeColor="text1" w:themeTint="D9"/>
          <w:sz w:val="22"/>
          <w:szCs w:val="22"/>
          <w:lang w:val="en-GB"/>
        </w:rPr>
        <w:t>EA Work Programme for 201</w:t>
      </w:r>
      <w:r w:rsidR="00B64BB1" w:rsidRPr="006101BD">
        <w:rPr>
          <w:rFonts w:ascii="Arial" w:hAnsi="Arial" w:cs="Arial"/>
          <w:color w:val="262626" w:themeColor="text1" w:themeTint="D9"/>
          <w:sz w:val="22"/>
          <w:szCs w:val="22"/>
          <w:lang w:val="en-GB"/>
        </w:rPr>
        <w:t>7</w:t>
      </w:r>
      <w:r w:rsidR="00A938F1" w:rsidRPr="00477539">
        <w:rPr>
          <w:rFonts w:ascii="Arial" w:hAnsi="Arial" w:cs="Arial"/>
          <w:color w:val="262626" w:themeColor="text1" w:themeTint="D9"/>
          <w:sz w:val="22"/>
          <w:szCs w:val="22"/>
          <w:lang w:val="en-GB"/>
        </w:rPr>
        <w:t xml:space="preserve"> </w:t>
      </w:r>
      <w:r w:rsidR="00A938F1" w:rsidRPr="00A57EFA">
        <w:rPr>
          <w:rFonts w:ascii="Arial" w:hAnsi="Arial" w:cs="Arial"/>
          <w:sz w:val="22"/>
          <w:szCs w:val="22"/>
          <w:lang w:val="en-GB"/>
        </w:rPr>
        <w:t>(</w:t>
      </w:r>
      <w:r w:rsidR="00A938F1" w:rsidRPr="00FD6492">
        <w:rPr>
          <w:rFonts w:ascii="Arial" w:hAnsi="Arial" w:cs="Arial"/>
          <w:sz w:val="22"/>
          <w:szCs w:val="22"/>
          <w:lang w:val="en-US"/>
        </w:rPr>
        <w:t xml:space="preserve">Document </w:t>
      </w:r>
      <w:r w:rsidR="00B64BB1">
        <w:rPr>
          <w:rFonts w:ascii="Arial" w:hAnsi="Arial" w:cs="Arial"/>
          <w:sz w:val="22"/>
          <w:szCs w:val="22"/>
          <w:lang w:val="en-US"/>
        </w:rPr>
        <w:t>EAGA(16)77</w:t>
      </w:r>
      <w:r w:rsidR="00A938F1" w:rsidRPr="00A57EFA">
        <w:rPr>
          <w:rFonts w:ascii="Arial" w:hAnsi="Arial" w:cs="Arial"/>
          <w:sz w:val="22"/>
          <w:szCs w:val="22"/>
          <w:lang w:val="en-US"/>
        </w:rPr>
        <w:t>).</w:t>
      </w:r>
    </w:p>
    <w:p w:rsidR="004C0B55" w:rsidRDefault="004C0B55" w:rsidP="00522A8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7D2015" w:rsidRPr="00A57EFA" w:rsidRDefault="007D2015" w:rsidP="007D2015">
      <w:pPr>
        <w:pStyle w:val="Nadpis1"/>
        <w:jc w:val="both"/>
        <w:rPr>
          <w:rFonts w:cs="Arial"/>
          <w:sz w:val="22"/>
          <w:szCs w:val="22"/>
        </w:rPr>
      </w:pPr>
      <w:r w:rsidRPr="00A57EFA">
        <w:rPr>
          <w:rFonts w:cs="Arial"/>
          <w:sz w:val="22"/>
          <w:szCs w:val="22"/>
        </w:rPr>
        <w:t xml:space="preserve">EA Resolution </w:t>
      </w:r>
      <w:r>
        <w:rPr>
          <w:rFonts w:cs="Arial"/>
          <w:sz w:val="22"/>
          <w:szCs w:val="22"/>
        </w:rPr>
        <w:t xml:space="preserve">2016 (38) </w:t>
      </w:r>
      <w:r w:rsidR="0050577C">
        <w:rPr>
          <w:rFonts w:cs="Arial"/>
          <w:sz w:val="22"/>
          <w:szCs w:val="22"/>
        </w:rPr>
        <w:t>06</w:t>
      </w:r>
    </w:p>
    <w:p w:rsidR="007D2015" w:rsidRPr="00A36D75" w:rsidRDefault="00A36D75" w:rsidP="007D2015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57EFA">
        <w:rPr>
          <w:rFonts w:ascii="Arial" w:hAnsi="Arial" w:cs="Arial"/>
          <w:sz w:val="22"/>
          <w:szCs w:val="22"/>
          <w:lang w:val="en-GB"/>
        </w:rPr>
        <w:t xml:space="preserve">The General Assembly, acting upon recommendation from </w:t>
      </w:r>
      <w:r w:rsidRPr="00A36D75">
        <w:rPr>
          <w:rFonts w:ascii="Arial" w:hAnsi="Arial" w:cs="Arial"/>
          <w:sz w:val="22"/>
          <w:szCs w:val="22"/>
          <w:lang w:val="en-GB"/>
        </w:rPr>
        <w:t xml:space="preserve">the MLA Council, </w:t>
      </w:r>
      <w:r>
        <w:rPr>
          <w:rFonts w:ascii="Arial" w:hAnsi="Arial" w:cs="Arial"/>
          <w:sz w:val="22"/>
          <w:szCs w:val="22"/>
          <w:lang w:val="en-GB"/>
        </w:rPr>
        <w:t xml:space="preserve">agrees that </w:t>
      </w:r>
      <w:r w:rsidRPr="007D2015">
        <w:rPr>
          <w:rFonts w:ascii="Arial" w:hAnsi="Arial" w:cs="Arial"/>
          <w:sz w:val="22"/>
          <w:szCs w:val="22"/>
          <w:lang w:val="en-GB"/>
        </w:rPr>
        <w:t xml:space="preserve">the Executive Committee starts </w:t>
      </w:r>
      <w:r w:rsidRPr="00A36D75">
        <w:rPr>
          <w:rFonts w:ascii="Arial" w:hAnsi="Arial" w:cs="Arial"/>
          <w:sz w:val="22"/>
          <w:szCs w:val="22"/>
          <w:lang w:val="en-GB"/>
        </w:rPr>
        <w:t xml:space="preserve">a new work item </w:t>
      </w:r>
      <w:r w:rsidR="007D2015" w:rsidRPr="007D2015">
        <w:rPr>
          <w:rFonts w:ascii="Arial" w:hAnsi="Arial" w:cs="Arial"/>
          <w:sz w:val="22"/>
          <w:szCs w:val="22"/>
          <w:lang w:val="en-GB"/>
        </w:rPr>
        <w:t xml:space="preserve">to revise </w:t>
      </w:r>
      <w:r w:rsidR="007D2015" w:rsidRPr="006101BD">
        <w:rPr>
          <w:rFonts w:ascii="Arial" w:hAnsi="Arial" w:cs="Arial"/>
          <w:color w:val="262626" w:themeColor="text1" w:themeTint="D9"/>
          <w:sz w:val="22"/>
          <w:szCs w:val="22"/>
          <w:lang w:val="en-US"/>
        </w:rPr>
        <w:t>EA-1/17</w:t>
      </w:r>
      <w:r w:rsidR="007D2015" w:rsidRPr="006101BD">
        <w:rPr>
          <w:rFonts w:ascii="Arial" w:hAnsi="Arial" w:cs="Arial"/>
          <w:sz w:val="22"/>
          <w:szCs w:val="22"/>
          <w:lang w:val="en-US"/>
        </w:rPr>
        <w:t>:</w:t>
      </w:r>
      <w:r w:rsidR="007D2015">
        <w:rPr>
          <w:rFonts w:ascii="Arial" w:hAnsi="Arial" w:cs="Arial"/>
          <w:sz w:val="22"/>
          <w:szCs w:val="22"/>
          <w:lang w:val="en-US"/>
        </w:rPr>
        <w:t xml:space="preserve"> </w:t>
      </w:r>
      <w:r w:rsidR="007D2015" w:rsidRPr="007D2015">
        <w:rPr>
          <w:rFonts w:ascii="Arial" w:hAnsi="Arial" w:cs="Arial"/>
          <w:i/>
          <w:sz w:val="22"/>
          <w:szCs w:val="22"/>
          <w:lang w:val="en-US"/>
        </w:rPr>
        <w:t>EA Rules of Procedure</w:t>
      </w:r>
      <w:r>
        <w:rPr>
          <w:rFonts w:ascii="Arial" w:hAnsi="Arial" w:cs="Arial"/>
          <w:sz w:val="22"/>
          <w:szCs w:val="22"/>
          <w:lang w:val="en-US"/>
        </w:rPr>
        <w:t xml:space="preserve"> in order </w:t>
      </w:r>
      <w:r w:rsidRPr="00A36D75">
        <w:rPr>
          <w:rFonts w:ascii="Arial" w:hAnsi="Arial" w:cs="Arial"/>
          <w:sz w:val="22"/>
          <w:szCs w:val="22"/>
          <w:lang w:val="en-GB"/>
        </w:rPr>
        <w:t>to introduce the voting rules to be used in the MLA Council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="007D2015" w:rsidRPr="007D2015">
        <w:rPr>
          <w:rFonts w:ascii="Arial" w:hAnsi="Arial" w:cs="Arial"/>
          <w:sz w:val="22"/>
          <w:szCs w:val="22"/>
          <w:lang w:val="en-US"/>
        </w:rPr>
        <w:t>taking into account for revision the rationale set out in Document EAGA(16)</w:t>
      </w:r>
      <w:r w:rsidR="007D2015">
        <w:rPr>
          <w:rFonts w:ascii="Arial" w:hAnsi="Arial" w:cs="Arial"/>
          <w:sz w:val="22"/>
          <w:szCs w:val="22"/>
          <w:lang w:val="en-US"/>
        </w:rPr>
        <w:t>80</w:t>
      </w:r>
      <w:r w:rsidR="007D2015" w:rsidRPr="007D2015">
        <w:rPr>
          <w:rFonts w:ascii="Arial" w:hAnsi="Arial" w:cs="Arial"/>
          <w:sz w:val="22"/>
          <w:szCs w:val="22"/>
          <w:lang w:val="en-US"/>
        </w:rPr>
        <w:t>.</w:t>
      </w:r>
    </w:p>
    <w:p w:rsidR="007D2015" w:rsidRPr="007D2015" w:rsidRDefault="007D2015" w:rsidP="00522A8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36312A" w:rsidRPr="00A57EFA" w:rsidRDefault="0036312A" w:rsidP="0036312A">
      <w:pPr>
        <w:pStyle w:val="Nadpis1"/>
        <w:jc w:val="both"/>
        <w:rPr>
          <w:rFonts w:cs="Arial"/>
          <w:sz w:val="22"/>
          <w:szCs w:val="22"/>
        </w:rPr>
      </w:pPr>
      <w:r w:rsidRPr="00A57EFA">
        <w:rPr>
          <w:rFonts w:cs="Arial"/>
          <w:sz w:val="22"/>
          <w:szCs w:val="22"/>
        </w:rPr>
        <w:t xml:space="preserve">EA Resolution </w:t>
      </w:r>
      <w:r>
        <w:rPr>
          <w:rFonts w:cs="Arial"/>
          <w:sz w:val="22"/>
          <w:szCs w:val="22"/>
        </w:rPr>
        <w:t xml:space="preserve">2016 (38) </w:t>
      </w:r>
      <w:r w:rsidR="0050577C">
        <w:rPr>
          <w:rFonts w:cs="Arial"/>
          <w:sz w:val="22"/>
          <w:szCs w:val="22"/>
        </w:rPr>
        <w:t>07</w:t>
      </w:r>
    </w:p>
    <w:p w:rsidR="00D30152" w:rsidRPr="00D30152" w:rsidRDefault="00D30152" w:rsidP="00D30152">
      <w:pPr>
        <w:tabs>
          <w:tab w:val="left" w:pos="2127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D30152">
        <w:rPr>
          <w:rFonts w:ascii="Arial" w:hAnsi="Arial" w:cs="Arial"/>
          <w:sz w:val="22"/>
          <w:szCs w:val="22"/>
          <w:lang w:val="en-US"/>
        </w:rPr>
        <w:t xml:space="preserve">The </w:t>
      </w:r>
      <w:r w:rsidRPr="007D2015">
        <w:rPr>
          <w:rFonts w:ascii="Arial" w:hAnsi="Arial" w:cs="Arial"/>
          <w:sz w:val="22"/>
          <w:szCs w:val="22"/>
          <w:lang w:val="en-GB"/>
        </w:rPr>
        <w:t xml:space="preserve">General Assembly </w:t>
      </w:r>
      <w:r w:rsidRPr="00D30152">
        <w:rPr>
          <w:rFonts w:ascii="Arial" w:hAnsi="Arial" w:cs="Arial"/>
          <w:sz w:val="22"/>
          <w:szCs w:val="22"/>
          <w:lang w:val="en-US"/>
        </w:rPr>
        <w:t xml:space="preserve">endorses the recommendation </w:t>
      </w:r>
      <w:r w:rsidR="00EB169C">
        <w:rPr>
          <w:rFonts w:ascii="Arial" w:hAnsi="Arial" w:cs="Arial"/>
          <w:sz w:val="22"/>
          <w:szCs w:val="22"/>
          <w:lang w:val="en-US"/>
        </w:rPr>
        <w:t xml:space="preserve">made by the </w:t>
      </w:r>
      <w:r w:rsidR="0050577C">
        <w:rPr>
          <w:rFonts w:ascii="Arial" w:hAnsi="Arial" w:cs="Arial"/>
          <w:sz w:val="22"/>
          <w:szCs w:val="22"/>
          <w:lang w:val="en-US"/>
        </w:rPr>
        <w:t>Executive Committee</w:t>
      </w:r>
      <w:r w:rsidR="00EB169C" w:rsidRPr="00D30152">
        <w:rPr>
          <w:rFonts w:ascii="Arial" w:hAnsi="Arial" w:cs="Arial"/>
          <w:sz w:val="22"/>
          <w:szCs w:val="22"/>
          <w:lang w:val="en-US"/>
        </w:rPr>
        <w:t xml:space="preserve"> </w:t>
      </w:r>
      <w:r w:rsidRPr="00D30152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6101BD">
        <w:rPr>
          <w:rFonts w:ascii="Arial" w:hAnsi="Arial" w:cs="Arial"/>
          <w:color w:val="262626" w:themeColor="text1" w:themeTint="D9"/>
          <w:sz w:val="22"/>
          <w:szCs w:val="22"/>
          <w:lang w:val="en-US"/>
        </w:rPr>
        <w:t>ARMNAB</w:t>
      </w:r>
      <w:r w:rsidRPr="00D30152">
        <w:rPr>
          <w:rFonts w:ascii="Arial" w:hAnsi="Arial" w:cs="Arial"/>
          <w:sz w:val="22"/>
          <w:szCs w:val="22"/>
          <w:lang w:val="en-US"/>
        </w:rPr>
        <w:t>, the national accreditation body of</w:t>
      </w:r>
      <w:r>
        <w:rPr>
          <w:rFonts w:ascii="Arial" w:hAnsi="Arial" w:cs="Arial"/>
          <w:sz w:val="22"/>
          <w:szCs w:val="22"/>
          <w:lang w:val="en-US"/>
        </w:rPr>
        <w:t xml:space="preserve"> Armenia, becomes an Associate M</w:t>
      </w:r>
      <w:r w:rsidRPr="00D30152">
        <w:rPr>
          <w:rFonts w:ascii="Arial" w:hAnsi="Arial" w:cs="Arial"/>
          <w:sz w:val="22"/>
          <w:szCs w:val="22"/>
          <w:lang w:val="en-US"/>
        </w:rPr>
        <w:t xml:space="preserve">ember of EA with effect from </w:t>
      </w:r>
      <w:r>
        <w:rPr>
          <w:rFonts w:ascii="Arial" w:hAnsi="Arial" w:cs="Arial"/>
          <w:sz w:val="22"/>
          <w:szCs w:val="22"/>
          <w:lang w:val="en-US"/>
        </w:rPr>
        <w:t>24 November 2016.</w:t>
      </w:r>
    </w:p>
    <w:p w:rsidR="00D30152" w:rsidRPr="0036312A" w:rsidRDefault="00D30152" w:rsidP="00522A8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D4E2B" w:rsidRPr="00A57EFA" w:rsidRDefault="00DD4E2B" w:rsidP="00DD4E2B">
      <w:pPr>
        <w:pStyle w:val="Nadpis1"/>
        <w:jc w:val="both"/>
        <w:rPr>
          <w:rFonts w:cs="Arial"/>
          <w:sz w:val="22"/>
          <w:szCs w:val="22"/>
        </w:rPr>
      </w:pPr>
      <w:r w:rsidRPr="00A57EFA">
        <w:rPr>
          <w:rFonts w:cs="Arial"/>
          <w:sz w:val="22"/>
          <w:szCs w:val="22"/>
        </w:rPr>
        <w:t xml:space="preserve">EA Resolution </w:t>
      </w:r>
      <w:r>
        <w:rPr>
          <w:rFonts w:cs="Arial"/>
          <w:sz w:val="22"/>
          <w:szCs w:val="22"/>
        </w:rPr>
        <w:t xml:space="preserve">2016 (38) </w:t>
      </w:r>
      <w:r w:rsidR="0050577C">
        <w:rPr>
          <w:rFonts w:cs="Arial"/>
          <w:sz w:val="22"/>
          <w:szCs w:val="22"/>
        </w:rPr>
        <w:t>08</w:t>
      </w:r>
    </w:p>
    <w:p w:rsidR="00DD4E2B" w:rsidRPr="00A57EFA" w:rsidRDefault="00DD4E2B" w:rsidP="00DD4E2B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57EFA">
        <w:rPr>
          <w:rFonts w:ascii="Arial" w:hAnsi="Arial" w:cs="Arial"/>
          <w:sz w:val="22"/>
          <w:szCs w:val="22"/>
          <w:lang w:val="en-GB"/>
        </w:rPr>
        <w:t xml:space="preserve">The General Assembly, acting upon recommendation from the Executive Committee, notes the revised </w:t>
      </w:r>
      <w:r>
        <w:rPr>
          <w:rFonts w:ascii="Arial" w:hAnsi="Arial" w:cs="Arial"/>
          <w:sz w:val="22"/>
          <w:szCs w:val="22"/>
          <w:lang w:val="en-GB"/>
        </w:rPr>
        <w:t>forecast of the accounts of 2016</w:t>
      </w:r>
      <w:r w:rsidRPr="00A57EFA">
        <w:rPr>
          <w:rFonts w:ascii="Arial" w:hAnsi="Arial" w:cs="Arial"/>
          <w:sz w:val="22"/>
          <w:szCs w:val="22"/>
          <w:lang w:val="en-GB"/>
        </w:rPr>
        <w:t xml:space="preserve"> (</w:t>
      </w:r>
      <w:r>
        <w:rPr>
          <w:rFonts w:ascii="Arial" w:hAnsi="Arial" w:cs="Arial"/>
          <w:sz w:val="22"/>
          <w:szCs w:val="22"/>
          <w:lang w:val="en-GB"/>
        </w:rPr>
        <w:t>Document EAGA(16</w:t>
      </w:r>
      <w:r w:rsidRPr="00FD6492">
        <w:rPr>
          <w:rFonts w:ascii="Arial" w:hAnsi="Arial" w:cs="Arial"/>
          <w:sz w:val="22"/>
          <w:szCs w:val="22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>95</w:t>
      </w:r>
      <w:r w:rsidRPr="00A57EFA">
        <w:rPr>
          <w:rFonts w:ascii="Arial" w:hAnsi="Arial" w:cs="Arial"/>
          <w:sz w:val="22"/>
          <w:szCs w:val="22"/>
          <w:lang w:val="en-GB"/>
        </w:rPr>
        <w:t xml:space="preserve">) and endorses the revised activity-based </w:t>
      </w:r>
      <w:r w:rsidRPr="006101BD">
        <w:rPr>
          <w:rFonts w:ascii="Arial" w:hAnsi="Arial" w:cs="Arial"/>
          <w:color w:val="262626" w:themeColor="text1" w:themeTint="D9"/>
          <w:sz w:val="22"/>
          <w:szCs w:val="22"/>
          <w:lang w:val="en-GB"/>
        </w:rPr>
        <w:t>budget for 2016</w:t>
      </w:r>
      <w:r w:rsidRPr="00477539">
        <w:rPr>
          <w:rFonts w:ascii="Arial" w:hAnsi="Arial" w:cs="Arial"/>
          <w:color w:val="262626" w:themeColor="text1" w:themeTint="D9"/>
          <w:sz w:val="22"/>
          <w:szCs w:val="22"/>
          <w:lang w:val="en-GB"/>
        </w:rPr>
        <w:t xml:space="preserve"> </w:t>
      </w:r>
      <w:r w:rsidRPr="00A57EFA">
        <w:rPr>
          <w:rFonts w:ascii="Arial" w:hAnsi="Arial" w:cs="Arial"/>
          <w:sz w:val="22"/>
          <w:szCs w:val="22"/>
          <w:lang w:val="en-GB"/>
        </w:rPr>
        <w:t>(</w:t>
      </w:r>
      <w:r w:rsidRPr="00FD6492">
        <w:rPr>
          <w:rFonts w:ascii="Arial" w:hAnsi="Arial" w:cs="Arial"/>
          <w:sz w:val="22"/>
          <w:szCs w:val="22"/>
          <w:lang w:val="en-GB"/>
        </w:rPr>
        <w:t>Document EAGA(1</w:t>
      </w:r>
      <w:r>
        <w:rPr>
          <w:rFonts w:ascii="Arial" w:hAnsi="Arial" w:cs="Arial"/>
          <w:sz w:val="22"/>
          <w:szCs w:val="22"/>
          <w:lang w:val="en-GB"/>
        </w:rPr>
        <w:t>6</w:t>
      </w:r>
      <w:r w:rsidRPr="00FD6492">
        <w:rPr>
          <w:rFonts w:ascii="Arial" w:hAnsi="Arial" w:cs="Arial"/>
          <w:sz w:val="22"/>
          <w:szCs w:val="22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>94</w:t>
      </w:r>
      <w:r w:rsidRPr="00A57EFA">
        <w:rPr>
          <w:rFonts w:ascii="Arial" w:hAnsi="Arial" w:cs="Arial"/>
          <w:sz w:val="22"/>
          <w:szCs w:val="22"/>
          <w:lang w:val="en-GB"/>
        </w:rPr>
        <w:t>).</w:t>
      </w:r>
    </w:p>
    <w:p w:rsidR="00E87C1C" w:rsidRDefault="00E87C1C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p w:rsidR="00DD4E2B" w:rsidRPr="00A57EFA" w:rsidRDefault="00DD4E2B" w:rsidP="00DD4E2B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DD4E2B" w:rsidRPr="00A57EFA" w:rsidRDefault="00DD4E2B" w:rsidP="00DD4E2B">
      <w:pPr>
        <w:pStyle w:val="Nadpis1"/>
        <w:jc w:val="both"/>
        <w:rPr>
          <w:rFonts w:cs="Arial"/>
          <w:sz w:val="22"/>
          <w:szCs w:val="22"/>
        </w:rPr>
      </w:pPr>
      <w:r w:rsidRPr="00A57EFA">
        <w:rPr>
          <w:rFonts w:cs="Arial"/>
          <w:sz w:val="22"/>
          <w:szCs w:val="22"/>
        </w:rPr>
        <w:t xml:space="preserve">EA Resolution </w:t>
      </w:r>
      <w:r>
        <w:rPr>
          <w:rFonts w:cs="Arial"/>
          <w:sz w:val="22"/>
          <w:szCs w:val="22"/>
        </w:rPr>
        <w:t xml:space="preserve">2016 (38) </w:t>
      </w:r>
      <w:r w:rsidR="0050577C">
        <w:rPr>
          <w:rFonts w:cs="Arial"/>
          <w:sz w:val="22"/>
          <w:szCs w:val="22"/>
        </w:rPr>
        <w:t>09</w:t>
      </w:r>
    </w:p>
    <w:p w:rsidR="00DD4E2B" w:rsidRPr="00A57EFA" w:rsidRDefault="00DD4E2B" w:rsidP="00DD4E2B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57EFA">
        <w:rPr>
          <w:rFonts w:ascii="Arial" w:hAnsi="Arial" w:cs="Arial"/>
          <w:sz w:val="22"/>
          <w:szCs w:val="22"/>
          <w:lang w:val="en-GB"/>
        </w:rPr>
        <w:t xml:space="preserve">The General Assembly, acting upon recommendation from the Executive Committee, endorses the </w:t>
      </w:r>
      <w:r w:rsidRPr="00F55270">
        <w:rPr>
          <w:rFonts w:ascii="Arial" w:hAnsi="Arial" w:cs="Arial"/>
          <w:sz w:val="22"/>
          <w:szCs w:val="22"/>
          <w:lang w:val="en-GB"/>
        </w:rPr>
        <w:t>revised</w:t>
      </w:r>
      <w:r w:rsidRPr="00A57EFA">
        <w:rPr>
          <w:rFonts w:ascii="Arial" w:hAnsi="Arial" w:cs="Arial"/>
          <w:sz w:val="22"/>
          <w:szCs w:val="22"/>
          <w:lang w:val="en-GB"/>
        </w:rPr>
        <w:t xml:space="preserve"> EA activity-based </w:t>
      </w:r>
      <w:r w:rsidRPr="006101BD">
        <w:rPr>
          <w:rFonts w:ascii="Arial" w:hAnsi="Arial" w:cs="Arial"/>
          <w:color w:val="262626" w:themeColor="text1" w:themeTint="D9"/>
          <w:sz w:val="22"/>
          <w:szCs w:val="22"/>
          <w:lang w:val="en-US"/>
        </w:rPr>
        <w:t xml:space="preserve">budget </w:t>
      </w:r>
      <w:r w:rsidRPr="006101BD">
        <w:rPr>
          <w:rFonts w:ascii="Arial" w:hAnsi="Arial" w:cs="Arial"/>
          <w:color w:val="262626" w:themeColor="text1" w:themeTint="D9"/>
          <w:sz w:val="22"/>
          <w:szCs w:val="22"/>
          <w:lang w:val="en-GB"/>
        </w:rPr>
        <w:t xml:space="preserve">for 2017 </w:t>
      </w:r>
      <w:r w:rsidRPr="006101BD">
        <w:rPr>
          <w:rFonts w:ascii="Arial" w:hAnsi="Arial" w:cs="Arial"/>
          <w:sz w:val="22"/>
          <w:szCs w:val="22"/>
          <w:lang w:val="en-GB"/>
        </w:rPr>
        <w:t xml:space="preserve">(Document </w:t>
      </w:r>
      <w:r w:rsidR="006101BD" w:rsidRPr="006101BD">
        <w:rPr>
          <w:rFonts w:ascii="Arial" w:hAnsi="Arial" w:cs="Arial"/>
          <w:sz w:val="22"/>
          <w:szCs w:val="22"/>
          <w:lang w:val="en-GB"/>
        </w:rPr>
        <w:t>EAGA(16)103</w:t>
      </w:r>
      <w:r w:rsidRPr="006101BD">
        <w:rPr>
          <w:rFonts w:ascii="Arial" w:hAnsi="Arial" w:cs="Arial"/>
          <w:sz w:val="22"/>
          <w:szCs w:val="22"/>
          <w:lang w:val="en-GB"/>
        </w:rPr>
        <w:t>)</w:t>
      </w:r>
      <w:r w:rsidR="006101BD">
        <w:rPr>
          <w:rFonts w:ascii="Arial" w:hAnsi="Arial" w:cs="Arial"/>
          <w:sz w:val="22"/>
          <w:szCs w:val="22"/>
          <w:lang w:val="en-GB"/>
        </w:rPr>
        <w:t xml:space="preserve"> and the revised membership fees for 2017 (Document EAGA(16)104)</w:t>
      </w:r>
      <w:r w:rsidRPr="006101BD">
        <w:rPr>
          <w:rFonts w:ascii="Arial" w:hAnsi="Arial" w:cs="Arial"/>
          <w:sz w:val="22"/>
          <w:szCs w:val="22"/>
          <w:lang w:val="en-GB"/>
        </w:rPr>
        <w:t>.</w:t>
      </w:r>
    </w:p>
    <w:p w:rsidR="007D2015" w:rsidRDefault="007D2015" w:rsidP="00522A8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00587" w:rsidRPr="00A57EFA" w:rsidRDefault="00300587" w:rsidP="00300587">
      <w:pPr>
        <w:pStyle w:val="Nadpis1"/>
        <w:jc w:val="both"/>
        <w:rPr>
          <w:rFonts w:cs="Arial"/>
          <w:sz w:val="22"/>
          <w:szCs w:val="22"/>
        </w:rPr>
      </w:pPr>
      <w:r w:rsidRPr="00A57EFA">
        <w:rPr>
          <w:rFonts w:cs="Arial"/>
          <w:sz w:val="22"/>
          <w:szCs w:val="22"/>
        </w:rPr>
        <w:t xml:space="preserve">EA Resolution </w:t>
      </w:r>
      <w:r>
        <w:rPr>
          <w:rFonts w:cs="Arial"/>
          <w:sz w:val="22"/>
          <w:szCs w:val="22"/>
        </w:rPr>
        <w:t xml:space="preserve">2016 (38) </w:t>
      </w:r>
      <w:r w:rsidR="00562F9C">
        <w:rPr>
          <w:rFonts w:cs="Arial"/>
          <w:sz w:val="22"/>
          <w:szCs w:val="22"/>
        </w:rPr>
        <w:t>10</w:t>
      </w:r>
    </w:p>
    <w:p w:rsidR="00300587" w:rsidRDefault="00300587" w:rsidP="0030058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300587">
        <w:rPr>
          <w:rFonts w:ascii="Arial" w:hAnsi="Arial" w:cs="Arial"/>
          <w:sz w:val="22"/>
          <w:szCs w:val="22"/>
          <w:lang w:val="en-GB"/>
        </w:rPr>
        <w:t xml:space="preserve">The </w:t>
      </w:r>
      <w:r w:rsidRPr="00A57EFA">
        <w:rPr>
          <w:rFonts w:ascii="Arial" w:hAnsi="Arial" w:cs="Arial"/>
          <w:sz w:val="22"/>
          <w:szCs w:val="22"/>
          <w:lang w:val="en-GB"/>
        </w:rPr>
        <w:t>General Assembly</w:t>
      </w:r>
      <w:r w:rsidRPr="00300587">
        <w:rPr>
          <w:rFonts w:ascii="Arial" w:hAnsi="Arial" w:cs="Arial"/>
          <w:sz w:val="22"/>
          <w:szCs w:val="22"/>
          <w:lang w:val="en-GB"/>
        </w:rPr>
        <w:t xml:space="preserve">, acting upon recommendation </w:t>
      </w:r>
      <w:r w:rsidRPr="00A57EFA">
        <w:rPr>
          <w:rFonts w:ascii="Arial" w:hAnsi="Arial" w:cs="Arial"/>
          <w:sz w:val="22"/>
          <w:szCs w:val="22"/>
          <w:lang w:val="en-GB"/>
        </w:rPr>
        <w:t>from the Executive Committee</w:t>
      </w:r>
      <w:r w:rsidRPr="00300587">
        <w:rPr>
          <w:rFonts w:ascii="Arial" w:hAnsi="Arial" w:cs="Arial"/>
          <w:sz w:val="22"/>
          <w:szCs w:val="22"/>
          <w:lang w:val="en-GB"/>
        </w:rPr>
        <w:t xml:space="preserve">, agrees to mandate Cabinet DELOITTE to </w:t>
      </w:r>
      <w:r>
        <w:rPr>
          <w:rFonts w:ascii="Arial" w:hAnsi="Arial" w:cs="Arial"/>
          <w:sz w:val="22"/>
          <w:szCs w:val="22"/>
          <w:lang w:val="en-GB"/>
        </w:rPr>
        <w:t>be:</w:t>
      </w:r>
    </w:p>
    <w:p w:rsidR="00300587" w:rsidRDefault="000F132A" w:rsidP="0030058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co</w:t>
      </w:r>
      <w:r w:rsidR="00300587" w:rsidRPr="00300587">
        <w:rPr>
          <w:rFonts w:ascii="Arial" w:hAnsi="Arial" w:cs="Arial"/>
          <w:sz w:val="22"/>
          <w:szCs w:val="22"/>
          <w:lang w:val="en-GB"/>
        </w:rPr>
        <w:t>mmissaire aux comptes of EA for the period</w:t>
      </w:r>
      <w:r w:rsidR="00300587">
        <w:rPr>
          <w:rFonts w:ascii="Arial" w:hAnsi="Arial" w:cs="Arial"/>
          <w:sz w:val="22"/>
          <w:szCs w:val="22"/>
          <w:lang w:val="en-GB"/>
        </w:rPr>
        <w:t xml:space="preserve"> and financial years 2016- 2021; and</w:t>
      </w:r>
    </w:p>
    <w:p w:rsidR="00300587" w:rsidRPr="00300587" w:rsidRDefault="00300587" w:rsidP="0030058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300587">
        <w:rPr>
          <w:rFonts w:ascii="Arial" w:hAnsi="Arial" w:cs="Arial"/>
          <w:sz w:val="22"/>
          <w:szCs w:val="22"/>
          <w:lang w:val="en-GB"/>
        </w:rPr>
        <w:t>the financial auditor for the verification and certification of eligible costs under the FPA and operating grant with the E</w:t>
      </w:r>
      <w:r w:rsidR="00281E44">
        <w:rPr>
          <w:rFonts w:ascii="Arial" w:hAnsi="Arial" w:cs="Arial"/>
          <w:sz w:val="22"/>
          <w:szCs w:val="22"/>
          <w:lang w:val="en-GB"/>
        </w:rPr>
        <w:t xml:space="preserve">uropean </w:t>
      </w:r>
      <w:r w:rsidRPr="00300587">
        <w:rPr>
          <w:rFonts w:ascii="Arial" w:hAnsi="Arial" w:cs="Arial"/>
          <w:sz w:val="22"/>
          <w:szCs w:val="22"/>
          <w:lang w:val="en-GB"/>
        </w:rPr>
        <w:t>C</w:t>
      </w:r>
      <w:r w:rsidR="00281E44">
        <w:rPr>
          <w:rFonts w:ascii="Arial" w:hAnsi="Arial" w:cs="Arial"/>
          <w:sz w:val="22"/>
          <w:szCs w:val="22"/>
          <w:lang w:val="en-GB"/>
        </w:rPr>
        <w:t>ommission</w:t>
      </w:r>
      <w:r w:rsidRPr="00300587">
        <w:rPr>
          <w:rFonts w:ascii="Arial" w:hAnsi="Arial" w:cs="Arial"/>
          <w:sz w:val="22"/>
          <w:szCs w:val="22"/>
          <w:lang w:val="en-GB"/>
        </w:rPr>
        <w:t>/EFTA.</w:t>
      </w:r>
    </w:p>
    <w:p w:rsidR="00300587" w:rsidRDefault="00300587" w:rsidP="00F55270">
      <w:pPr>
        <w:rPr>
          <w:lang w:val="en-GB"/>
        </w:rPr>
      </w:pPr>
    </w:p>
    <w:p w:rsidR="005B1182" w:rsidRPr="00A57EFA" w:rsidRDefault="005B1182" w:rsidP="005B1182">
      <w:pPr>
        <w:pStyle w:val="Nadpis1"/>
        <w:jc w:val="both"/>
        <w:rPr>
          <w:rFonts w:cs="Arial"/>
          <w:sz w:val="22"/>
          <w:szCs w:val="22"/>
        </w:rPr>
      </w:pPr>
      <w:r w:rsidRPr="00A57EFA">
        <w:rPr>
          <w:rFonts w:cs="Arial"/>
          <w:sz w:val="22"/>
          <w:szCs w:val="22"/>
        </w:rPr>
        <w:t xml:space="preserve">EA Resolution </w:t>
      </w:r>
      <w:r>
        <w:rPr>
          <w:rFonts w:cs="Arial"/>
          <w:sz w:val="22"/>
          <w:szCs w:val="22"/>
        </w:rPr>
        <w:t xml:space="preserve">2016 (38) </w:t>
      </w:r>
      <w:r w:rsidR="00281E44">
        <w:rPr>
          <w:rFonts w:cs="Arial"/>
          <w:sz w:val="22"/>
          <w:szCs w:val="22"/>
        </w:rPr>
        <w:t>11</w:t>
      </w:r>
    </w:p>
    <w:p w:rsidR="00F55270" w:rsidRPr="005B1182" w:rsidRDefault="005B1182" w:rsidP="005B1182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57EFA">
        <w:rPr>
          <w:rFonts w:ascii="Arial" w:hAnsi="Arial" w:cs="Arial"/>
          <w:sz w:val="22"/>
          <w:szCs w:val="22"/>
          <w:lang w:val="en-GB"/>
        </w:rPr>
        <w:t>The General Assembly</w:t>
      </w:r>
      <w:r>
        <w:rPr>
          <w:rFonts w:ascii="Arial" w:hAnsi="Arial" w:cs="Arial"/>
          <w:sz w:val="22"/>
          <w:szCs w:val="22"/>
          <w:lang w:val="en-GB"/>
        </w:rPr>
        <w:t xml:space="preserve"> approves </w:t>
      </w:r>
      <w:r w:rsidR="00F55270" w:rsidRPr="006101BD">
        <w:rPr>
          <w:rFonts w:ascii="Arial" w:hAnsi="Arial" w:cs="Arial"/>
          <w:color w:val="262626" w:themeColor="text1" w:themeTint="D9"/>
          <w:sz w:val="22"/>
          <w:szCs w:val="22"/>
          <w:lang w:val="en-GB"/>
        </w:rPr>
        <w:t>EA</w:t>
      </w:r>
      <w:r w:rsidRPr="006101BD">
        <w:rPr>
          <w:rFonts w:ascii="Arial" w:hAnsi="Arial" w:cs="Arial"/>
          <w:color w:val="262626" w:themeColor="text1" w:themeTint="D9"/>
          <w:sz w:val="22"/>
          <w:szCs w:val="22"/>
          <w:lang w:val="en-GB"/>
        </w:rPr>
        <w:t>-1/17 S5</w:t>
      </w:r>
      <w:r w:rsidRPr="006101BD">
        <w:rPr>
          <w:rFonts w:ascii="Arial" w:hAnsi="Arial" w:cs="Arial"/>
          <w:sz w:val="22"/>
          <w:szCs w:val="22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5B1182">
        <w:rPr>
          <w:rFonts w:ascii="Arial" w:hAnsi="Arial" w:cs="Arial"/>
          <w:i/>
          <w:sz w:val="22"/>
          <w:szCs w:val="22"/>
          <w:lang w:val="en-GB"/>
        </w:rPr>
        <w:t>Levying of Membership Fees</w:t>
      </w:r>
      <w:r>
        <w:rPr>
          <w:rFonts w:ascii="Arial" w:hAnsi="Arial" w:cs="Arial"/>
          <w:sz w:val="22"/>
          <w:szCs w:val="22"/>
          <w:lang w:val="en-GB"/>
        </w:rPr>
        <w:t xml:space="preserve"> as revised by the Executive Committee in Document EAGA(16)83, according to the rationale set out in EAEX(16)19.</w:t>
      </w:r>
    </w:p>
    <w:p w:rsidR="005B1182" w:rsidRPr="005B1182" w:rsidRDefault="005B1182" w:rsidP="005B1182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5D2D1E" w:rsidRPr="00A57EFA" w:rsidRDefault="005D2D1E" w:rsidP="005D2D1E">
      <w:pPr>
        <w:pStyle w:val="Nadpis1"/>
        <w:jc w:val="both"/>
        <w:rPr>
          <w:rFonts w:cs="Arial"/>
          <w:sz w:val="22"/>
          <w:szCs w:val="22"/>
        </w:rPr>
      </w:pPr>
      <w:r w:rsidRPr="00A57EFA">
        <w:rPr>
          <w:rFonts w:cs="Arial"/>
          <w:sz w:val="22"/>
          <w:szCs w:val="22"/>
        </w:rPr>
        <w:t xml:space="preserve">EA Resolution </w:t>
      </w:r>
      <w:r>
        <w:rPr>
          <w:rFonts w:cs="Arial"/>
          <w:sz w:val="22"/>
          <w:szCs w:val="22"/>
        </w:rPr>
        <w:t xml:space="preserve">2016 (38) </w:t>
      </w:r>
      <w:r w:rsidR="00281E44">
        <w:rPr>
          <w:rFonts w:cs="Arial"/>
          <w:sz w:val="22"/>
          <w:szCs w:val="22"/>
        </w:rPr>
        <w:t>12</w:t>
      </w:r>
    </w:p>
    <w:p w:rsidR="00D27713" w:rsidRPr="00A57EFA" w:rsidRDefault="00D27713" w:rsidP="00D27713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57EFA">
        <w:rPr>
          <w:rFonts w:ascii="Arial" w:hAnsi="Arial" w:cs="Arial"/>
          <w:sz w:val="22"/>
          <w:szCs w:val="22"/>
          <w:lang w:val="en-GB"/>
        </w:rPr>
        <w:t>The General Assembly</w:t>
      </w:r>
      <w:r>
        <w:rPr>
          <w:rFonts w:ascii="Arial" w:hAnsi="Arial" w:cs="Arial"/>
          <w:sz w:val="22"/>
          <w:szCs w:val="22"/>
          <w:lang w:val="en-GB"/>
        </w:rPr>
        <w:t xml:space="preserve"> approves the </w:t>
      </w:r>
      <w:r w:rsidRPr="006101BD">
        <w:rPr>
          <w:rFonts w:ascii="Arial" w:hAnsi="Arial" w:cs="Arial"/>
          <w:color w:val="262626" w:themeColor="text1" w:themeTint="D9"/>
          <w:sz w:val="22"/>
          <w:szCs w:val="22"/>
          <w:lang w:val="en-GB"/>
        </w:rPr>
        <w:t>terms of reference of the MLA Council</w:t>
      </w:r>
      <w:r w:rsidRPr="00477539">
        <w:rPr>
          <w:rFonts w:ascii="Arial" w:hAnsi="Arial" w:cs="Arial"/>
          <w:color w:val="262626" w:themeColor="text1" w:themeTint="D9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as revised in October 2016 and endorsed by the Executive Committee </w:t>
      </w:r>
      <w:r w:rsidRPr="00107C5F">
        <w:rPr>
          <w:rFonts w:ascii="Arial" w:hAnsi="Arial" w:cs="Arial"/>
          <w:sz w:val="22"/>
          <w:szCs w:val="22"/>
          <w:lang w:val="en-GB"/>
        </w:rPr>
        <w:t>(Document EAGA(16)</w:t>
      </w:r>
      <w:r w:rsidR="00BA07A8" w:rsidRPr="00107C5F">
        <w:rPr>
          <w:rFonts w:ascii="Arial" w:hAnsi="Arial" w:cs="Arial"/>
          <w:sz w:val="22"/>
          <w:szCs w:val="22"/>
          <w:lang w:val="en-GB"/>
        </w:rPr>
        <w:t>102</w:t>
      </w:r>
      <w:r w:rsidRPr="00107C5F">
        <w:rPr>
          <w:rFonts w:ascii="Arial" w:hAnsi="Arial" w:cs="Arial"/>
          <w:sz w:val="22"/>
          <w:szCs w:val="22"/>
          <w:lang w:val="en-GB"/>
        </w:rPr>
        <w:t>).</w:t>
      </w:r>
    </w:p>
    <w:p w:rsidR="00F55270" w:rsidRDefault="00F55270" w:rsidP="00522A8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D27713" w:rsidRPr="00A57EFA" w:rsidRDefault="00D27713" w:rsidP="00D27713">
      <w:pPr>
        <w:pStyle w:val="Nadpis1"/>
        <w:jc w:val="both"/>
        <w:rPr>
          <w:rFonts w:cs="Arial"/>
          <w:sz w:val="22"/>
          <w:szCs w:val="22"/>
        </w:rPr>
      </w:pPr>
      <w:r w:rsidRPr="00A57EFA">
        <w:rPr>
          <w:rFonts w:cs="Arial"/>
          <w:sz w:val="22"/>
          <w:szCs w:val="22"/>
        </w:rPr>
        <w:t xml:space="preserve">EA Resolution </w:t>
      </w:r>
      <w:r>
        <w:rPr>
          <w:rFonts w:cs="Arial"/>
          <w:sz w:val="22"/>
          <w:szCs w:val="22"/>
        </w:rPr>
        <w:t xml:space="preserve">2016 (38) </w:t>
      </w:r>
      <w:r w:rsidR="00281E44">
        <w:rPr>
          <w:rFonts w:cs="Arial"/>
          <w:sz w:val="22"/>
          <w:szCs w:val="22"/>
        </w:rPr>
        <w:t>13</w:t>
      </w:r>
    </w:p>
    <w:p w:rsidR="00D27713" w:rsidRPr="00BE26F2" w:rsidRDefault="00D27713" w:rsidP="00D2771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A57EFA">
        <w:rPr>
          <w:rFonts w:ascii="Arial" w:hAnsi="Arial" w:cs="Arial"/>
          <w:sz w:val="22"/>
          <w:szCs w:val="22"/>
          <w:lang w:val="en-GB"/>
        </w:rPr>
        <w:t>The General Assembly</w:t>
      </w:r>
      <w:r w:rsidRPr="00A57EFA">
        <w:rPr>
          <w:rFonts w:ascii="Arial" w:hAnsi="Arial" w:cs="Arial"/>
          <w:sz w:val="22"/>
          <w:szCs w:val="22"/>
          <w:lang w:val="en-US"/>
        </w:rPr>
        <w:t xml:space="preserve">, acting upon recommendation of the </w:t>
      </w:r>
      <w:r w:rsidR="001A0C46">
        <w:rPr>
          <w:rFonts w:ascii="Arial" w:hAnsi="Arial" w:cs="Arial"/>
          <w:sz w:val="22"/>
          <w:szCs w:val="22"/>
          <w:lang w:val="en-GB"/>
        </w:rPr>
        <w:t>Executive Committee</w:t>
      </w:r>
      <w:r w:rsidRPr="00A57EFA">
        <w:rPr>
          <w:rFonts w:ascii="Arial" w:hAnsi="Arial" w:cs="Arial"/>
          <w:sz w:val="22"/>
          <w:szCs w:val="22"/>
          <w:lang w:val="en-US"/>
        </w:rPr>
        <w:t xml:space="preserve">, agrees that the EA HHC starts a new work item to </w:t>
      </w:r>
      <w:r w:rsidRPr="006101BD">
        <w:rPr>
          <w:rFonts w:ascii="Arial" w:hAnsi="Arial" w:cs="Arial"/>
          <w:color w:val="262626" w:themeColor="text1" w:themeTint="D9"/>
          <w:sz w:val="22"/>
          <w:szCs w:val="22"/>
          <w:lang w:val="en-GB"/>
        </w:rPr>
        <w:t>EA-1/06</w:t>
      </w:r>
      <w:r w:rsidRPr="006101BD">
        <w:rPr>
          <w:rFonts w:ascii="Arial" w:hAnsi="Arial" w:cs="Arial"/>
          <w:sz w:val="22"/>
          <w:szCs w:val="22"/>
          <w:lang w:val="en-GB"/>
        </w:rPr>
        <w:t>:</w:t>
      </w:r>
      <w:r w:rsidRPr="00D27713">
        <w:rPr>
          <w:rFonts w:ascii="Arial" w:hAnsi="Arial" w:cs="Arial"/>
          <w:sz w:val="22"/>
          <w:szCs w:val="22"/>
          <w:lang w:val="en-GB"/>
        </w:rPr>
        <w:t xml:space="preserve"> </w:t>
      </w:r>
      <w:r w:rsidRPr="00D27713">
        <w:rPr>
          <w:rFonts w:ascii="Arial" w:hAnsi="Arial" w:cs="Arial"/>
          <w:i/>
          <w:sz w:val="22"/>
          <w:szCs w:val="22"/>
          <w:lang w:val="en-GB"/>
        </w:rPr>
        <w:t>EA Multilateral Agreement. Criteria for signing. Policy and procedures for development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r w:rsidRPr="00A57EFA">
        <w:rPr>
          <w:rFonts w:ascii="Arial" w:hAnsi="Arial" w:cs="Arial"/>
          <w:sz w:val="22"/>
          <w:szCs w:val="22"/>
          <w:lang w:val="en-GB"/>
        </w:rPr>
        <w:t xml:space="preserve">according to the rationale for revision set out in </w:t>
      </w:r>
      <w:r>
        <w:rPr>
          <w:rFonts w:ascii="Arial" w:hAnsi="Arial" w:cs="Arial"/>
          <w:sz w:val="22"/>
          <w:szCs w:val="22"/>
          <w:lang w:val="en-US"/>
        </w:rPr>
        <w:t>EAGA(16)86.</w:t>
      </w:r>
    </w:p>
    <w:p w:rsidR="00D27713" w:rsidRDefault="00D27713" w:rsidP="00522A8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D27713" w:rsidRPr="00A57EFA" w:rsidRDefault="00D27713" w:rsidP="00D27713">
      <w:pPr>
        <w:pStyle w:val="Nadpis1"/>
        <w:jc w:val="both"/>
        <w:rPr>
          <w:rFonts w:cs="Arial"/>
          <w:sz w:val="22"/>
          <w:szCs w:val="22"/>
        </w:rPr>
      </w:pPr>
      <w:r w:rsidRPr="00A57EFA">
        <w:rPr>
          <w:rFonts w:cs="Arial"/>
          <w:sz w:val="22"/>
          <w:szCs w:val="22"/>
        </w:rPr>
        <w:t xml:space="preserve">EA Resolution </w:t>
      </w:r>
      <w:r>
        <w:rPr>
          <w:rFonts w:cs="Arial"/>
          <w:sz w:val="22"/>
          <w:szCs w:val="22"/>
        </w:rPr>
        <w:t xml:space="preserve">2016 (38) </w:t>
      </w:r>
      <w:r w:rsidR="00281E44">
        <w:rPr>
          <w:rFonts w:cs="Arial"/>
          <w:sz w:val="22"/>
          <w:szCs w:val="22"/>
        </w:rPr>
        <w:t>14</w:t>
      </w:r>
    </w:p>
    <w:p w:rsidR="00D27713" w:rsidRPr="00A57EFA" w:rsidRDefault="00D27713" w:rsidP="00D27713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57EFA">
        <w:rPr>
          <w:rFonts w:ascii="Arial" w:hAnsi="Arial" w:cs="Arial"/>
          <w:sz w:val="22"/>
          <w:szCs w:val="22"/>
          <w:lang w:val="en-GB"/>
        </w:rPr>
        <w:t>The General Assembly</w:t>
      </w:r>
      <w:r>
        <w:rPr>
          <w:rFonts w:ascii="Arial" w:hAnsi="Arial" w:cs="Arial"/>
          <w:sz w:val="22"/>
          <w:szCs w:val="22"/>
          <w:lang w:val="en-GB"/>
        </w:rPr>
        <w:t xml:space="preserve"> approves the </w:t>
      </w:r>
      <w:r w:rsidRPr="006101BD">
        <w:rPr>
          <w:rFonts w:ascii="Arial" w:hAnsi="Arial" w:cs="Arial"/>
          <w:color w:val="262626" w:themeColor="text1" w:themeTint="D9"/>
          <w:sz w:val="22"/>
          <w:szCs w:val="22"/>
          <w:lang w:val="en-GB"/>
        </w:rPr>
        <w:t>terms of reference of the Horizontal Harmonisation Committee</w:t>
      </w:r>
      <w:r w:rsidRPr="006101BD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as revised in October 2016 and endorsed by the Executive </w:t>
      </w:r>
      <w:r w:rsidRPr="00007182">
        <w:rPr>
          <w:rFonts w:ascii="Arial" w:hAnsi="Arial" w:cs="Arial"/>
          <w:sz w:val="22"/>
          <w:szCs w:val="22"/>
          <w:lang w:val="en-GB"/>
        </w:rPr>
        <w:t>Committee (</w:t>
      </w:r>
      <w:r w:rsidR="00007182" w:rsidRPr="00007182">
        <w:rPr>
          <w:rFonts w:ascii="Arial" w:hAnsi="Arial" w:cs="Arial"/>
          <w:sz w:val="22"/>
          <w:szCs w:val="22"/>
          <w:lang w:val="en-GB"/>
        </w:rPr>
        <w:t>Document EAGA(16)116</w:t>
      </w:r>
      <w:r w:rsidRPr="00007182">
        <w:rPr>
          <w:rFonts w:ascii="Arial" w:hAnsi="Arial" w:cs="Arial"/>
          <w:sz w:val="22"/>
          <w:szCs w:val="22"/>
          <w:lang w:val="en-GB"/>
        </w:rPr>
        <w:t>).</w:t>
      </w:r>
    </w:p>
    <w:p w:rsidR="007D2015" w:rsidRDefault="007D2015" w:rsidP="00522A8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276250" w:rsidRDefault="00276250" w:rsidP="00276250">
      <w:pPr>
        <w:pStyle w:val="Nadpis1"/>
        <w:jc w:val="both"/>
        <w:rPr>
          <w:rFonts w:cs="Arial"/>
          <w:sz w:val="22"/>
          <w:szCs w:val="22"/>
        </w:rPr>
      </w:pPr>
      <w:r w:rsidRPr="00A57EFA">
        <w:rPr>
          <w:rFonts w:cs="Arial"/>
          <w:sz w:val="22"/>
          <w:szCs w:val="22"/>
        </w:rPr>
        <w:t xml:space="preserve">EA Resolution </w:t>
      </w:r>
      <w:r>
        <w:rPr>
          <w:rFonts w:cs="Arial"/>
          <w:sz w:val="22"/>
          <w:szCs w:val="22"/>
        </w:rPr>
        <w:t xml:space="preserve">2016 (38) </w:t>
      </w:r>
      <w:r w:rsidR="00BA07A8">
        <w:rPr>
          <w:rFonts w:cs="Arial"/>
          <w:sz w:val="22"/>
          <w:szCs w:val="22"/>
        </w:rPr>
        <w:t>15</w:t>
      </w:r>
    </w:p>
    <w:p w:rsidR="00276250" w:rsidRPr="00B433FE" w:rsidRDefault="00276250" w:rsidP="00522A8C">
      <w:pPr>
        <w:jc w:val="both"/>
        <w:rPr>
          <w:rFonts w:ascii="Arial" w:hAnsi="Arial" w:cs="Arial"/>
          <w:sz w:val="22"/>
          <w:szCs w:val="22"/>
          <w:lang w:val="en-GB"/>
        </w:rPr>
      </w:pPr>
      <w:r w:rsidRPr="00B433FE">
        <w:rPr>
          <w:rFonts w:ascii="Arial" w:hAnsi="Arial" w:cs="Arial"/>
          <w:sz w:val="22"/>
          <w:szCs w:val="22"/>
          <w:lang w:val="en-GB"/>
        </w:rPr>
        <w:t xml:space="preserve">The General Assembly, acting upon recommendation from the </w:t>
      </w:r>
      <w:r w:rsidR="00A72C64" w:rsidRPr="00B433FE">
        <w:rPr>
          <w:rFonts w:ascii="Arial" w:hAnsi="Arial" w:cs="Arial"/>
          <w:sz w:val="22"/>
          <w:szCs w:val="22"/>
          <w:lang w:val="en-GB"/>
        </w:rPr>
        <w:t>Inspection</w:t>
      </w:r>
      <w:r w:rsidRPr="00B433FE">
        <w:rPr>
          <w:rFonts w:ascii="Arial" w:hAnsi="Arial" w:cs="Arial"/>
          <w:sz w:val="22"/>
          <w:szCs w:val="22"/>
          <w:lang w:val="en-GB"/>
        </w:rPr>
        <w:t xml:space="preserve"> Committee, adopts:</w:t>
      </w:r>
    </w:p>
    <w:p w:rsidR="00276250" w:rsidRPr="006101BD" w:rsidRDefault="00A72C64" w:rsidP="00522A8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6101BD">
        <w:rPr>
          <w:rFonts w:ascii="Arial" w:hAnsi="Arial" w:cs="Arial"/>
          <w:color w:val="262626" w:themeColor="text1" w:themeTint="D9"/>
          <w:sz w:val="22"/>
          <w:szCs w:val="22"/>
          <w:lang w:val="en-GB"/>
        </w:rPr>
        <w:t xml:space="preserve">ILAC P15:07/2016 </w:t>
      </w:r>
      <w:r w:rsidRPr="006101BD">
        <w:rPr>
          <w:rFonts w:ascii="Arial" w:hAnsi="Arial" w:cs="Arial"/>
          <w:i/>
          <w:sz w:val="22"/>
          <w:szCs w:val="22"/>
          <w:lang w:val="en-GB"/>
        </w:rPr>
        <w:t>Application of ISO/IEC 17020:2012 for the Accreditation of Inspection Bodies</w:t>
      </w:r>
      <w:r w:rsidR="00056192" w:rsidRPr="006101BD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056192" w:rsidRPr="006101BD">
        <w:rPr>
          <w:rFonts w:ascii="Arial" w:hAnsi="Arial" w:cs="Arial"/>
          <w:sz w:val="22"/>
          <w:szCs w:val="22"/>
          <w:lang w:val="en-GB"/>
        </w:rPr>
        <w:t>as a mandatory document for all EA members,</w:t>
      </w:r>
    </w:p>
    <w:p w:rsidR="00276250" w:rsidRPr="00B433FE" w:rsidRDefault="00A72C64" w:rsidP="00A72C6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6101BD">
        <w:rPr>
          <w:rFonts w:ascii="Arial" w:hAnsi="Arial" w:cs="Arial"/>
          <w:color w:val="262626" w:themeColor="text1" w:themeTint="D9"/>
          <w:sz w:val="22"/>
          <w:szCs w:val="22"/>
          <w:lang w:val="en-GB"/>
        </w:rPr>
        <w:t>ILAC R4:10/2016</w:t>
      </w:r>
      <w:r w:rsidRPr="00477539">
        <w:rPr>
          <w:rFonts w:ascii="Arial" w:hAnsi="Arial" w:cs="Arial"/>
          <w:color w:val="262626" w:themeColor="text1" w:themeTint="D9"/>
          <w:sz w:val="22"/>
          <w:szCs w:val="22"/>
          <w:lang w:val="en-GB"/>
        </w:rPr>
        <w:t xml:space="preserve"> </w:t>
      </w:r>
      <w:r w:rsidRPr="00B433FE">
        <w:rPr>
          <w:rFonts w:ascii="Arial" w:hAnsi="Arial" w:cs="Arial"/>
          <w:i/>
          <w:sz w:val="22"/>
          <w:szCs w:val="22"/>
          <w:lang w:val="en-GB"/>
        </w:rPr>
        <w:t>Use of the ILAC Logo and Tagline</w:t>
      </w:r>
      <w:r w:rsidR="00056192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056192" w:rsidRPr="00056192">
        <w:rPr>
          <w:rFonts w:ascii="Arial" w:hAnsi="Arial" w:cs="Arial"/>
          <w:sz w:val="22"/>
          <w:szCs w:val="22"/>
          <w:lang w:val="en-GB"/>
        </w:rPr>
        <w:t xml:space="preserve">as a mandatory document for EA members </w:t>
      </w:r>
      <w:r w:rsidR="00056192">
        <w:rPr>
          <w:rFonts w:ascii="Arial" w:hAnsi="Arial" w:cs="Arial"/>
          <w:sz w:val="22"/>
          <w:szCs w:val="22"/>
          <w:lang w:val="en-GB"/>
        </w:rPr>
        <w:t>being an ILAC member.</w:t>
      </w:r>
    </w:p>
    <w:p w:rsidR="009E4FFC" w:rsidRDefault="009E4FFC" w:rsidP="00522A8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0F132A" w:rsidRDefault="000F132A" w:rsidP="000F132A">
      <w:pPr>
        <w:pStyle w:val="Nadpis1"/>
        <w:jc w:val="both"/>
        <w:rPr>
          <w:rFonts w:cs="Arial"/>
          <w:sz w:val="22"/>
          <w:szCs w:val="22"/>
        </w:rPr>
      </w:pPr>
      <w:r w:rsidRPr="00A57EFA">
        <w:rPr>
          <w:rFonts w:cs="Arial"/>
          <w:sz w:val="22"/>
          <w:szCs w:val="22"/>
        </w:rPr>
        <w:t xml:space="preserve">EA Resolution </w:t>
      </w:r>
      <w:r>
        <w:rPr>
          <w:rFonts w:cs="Arial"/>
          <w:sz w:val="22"/>
          <w:szCs w:val="22"/>
        </w:rPr>
        <w:t xml:space="preserve">2016 (38) </w:t>
      </w:r>
      <w:r w:rsidR="00BA07A8">
        <w:rPr>
          <w:rFonts w:cs="Arial"/>
          <w:sz w:val="22"/>
          <w:szCs w:val="22"/>
        </w:rPr>
        <w:t>16</w:t>
      </w:r>
    </w:p>
    <w:p w:rsidR="0026577D" w:rsidRPr="002F7058" w:rsidRDefault="000F132A" w:rsidP="000F132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F7058">
        <w:rPr>
          <w:rFonts w:ascii="Arial" w:hAnsi="Arial" w:cs="Arial"/>
          <w:sz w:val="22"/>
          <w:szCs w:val="22"/>
          <w:lang w:val="en-GB"/>
        </w:rPr>
        <w:t>The General Assembly, acting upon recommendation from the Executive Committee,</w:t>
      </w:r>
      <w:r w:rsidR="00C85709" w:rsidRPr="002F7058">
        <w:rPr>
          <w:rFonts w:ascii="Arial" w:hAnsi="Arial" w:cs="Arial"/>
          <w:sz w:val="22"/>
          <w:szCs w:val="22"/>
          <w:lang w:val="en-GB"/>
        </w:rPr>
        <w:t xml:space="preserve"> agrees to</w:t>
      </w:r>
      <w:r w:rsidR="0026577D">
        <w:rPr>
          <w:rFonts w:ascii="Arial" w:hAnsi="Arial" w:cs="Arial"/>
          <w:sz w:val="22"/>
          <w:szCs w:val="22"/>
          <w:lang w:val="en-GB"/>
        </w:rPr>
        <w:t xml:space="preserve"> </w:t>
      </w:r>
      <w:r w:rsidR="002F7058">
        <w:rPr>
          <w:rFonts w:ascii="Arial" w:hAnsi="Arial" w:cs="Arial"/>
          <w:sz w:val="22"/>
          <w:szCs w:val="22"/>
          <w:lang w:val="en-GB"/>
        </w:rPr>
        <w:t>cancel</w:t>
      </w:r>
      <w:r w:rsidR="002F7058" w:rsidRPr="002F7058">
        <w:rPr>
          <w:rFonts w:ascii="Arial" w:hAnsi="Arial" w:cs="Arial"/>
          <w:sz w:val="22"/>
          <w:szCs w:val="22"/>
          <w:lang w:val="en-GB"/>
        </w:rPr>
        <w:t xml:space="preserve"> </w:t>
      </w:r>
      <w:r w:rsidR="002F7058" w:rsidRPr="000F132A">
        <w:rPr>
          <w:rFonts w:ascii="Arial" w:hAnsi="Arial" w:cs="Arial"/>
          <w:sz w:val="22"/>
          <w:szCs w:val="22"/>
          <w:lang w:val="en-GB"/>
        </w:rPr>
        <w:t>EA Resolution 2016 (37) 39</w:t>
      </w:r>
      <w:r w:rsidR="002F7058">
        <w:rPr>
          <w:rFonts w:ascii="Arial" w:hAnsi="Arial" w:cs="Arial"/>
          <w:sz w:val="22"/>
          <w:szCs w:val="22"/>
          <w:lang w:val="en-GB"/>
        </w:rPr>
        <w:t xml:space="preserve"> to be superseded </w:t>
      </w:r>
      <w:r w:rsidR="0026577D">
        <w:rPr>
          <w:rFonts w:ascii="Arial" w:hAnsi="Arial" w:cs="Arial"/>
          <w:sz w:val="22"/>
          <w:szCs w:val="22"/>
          <w:lang w:val="en-GB"/>
        </w:rPr>
        <w:t xml:space="preserve">by this resolution </w:t>
      </w:r>
      <w:r w:rsidR="002F7058">
        <w:rPr>
          <w:rFonts w:ascii="Arial" w:hAnsi="Arial" w:cs="Arial"/>
          <w:sz w:val="22"/>
          <w:szCs w:val="22"/>
          <w:lang w:val="en-GB"/>
        </w:rPr>
        <w:t>as follows:</w:t>
      </w:r>
    </w:p>
    <w:p w:rsidR="000F132A" w:rsidRPr="000F132A" w:rsidRDefault="002F7058" w:rsidP="000F132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F7058">
        <w:rPr>
          <w:rFonts w:ascii="Arial" w:hAnsi="Arial" w:cs="Arial"/>
          <w:sz w:val="22"/>
          <w:szCs w:val="22"/>
          <w:lang w:val="en-GB"/>
        </w:rPr>
        <w:t xml:space="preserve">The General Assembly adopts </w:t>
      </w:r>
      <w:r w:rsidRPr="006101BD">
        <w:rPr>
          <w:rFonts w:ascii="Arial" w:hAnsi="Arial" w:cs="Arial"/>
          <w:color w:val="262626" w:themeColor="text1" w:themeTint="D9"/>
          <w:sz w:val="22"/>
          <w:szCs w:val="22"/>
          <w:lang w:val="en-GB"/>
        </w:rPr>
        <w:t>IAF MD 20</w:t>
      </w:r>
      <w:r w:rsidRPr="006101BD">
        <w:rPr>
          <w:rFonts w:ascii="Arial" w:hAnsi="Arial" w:cs="Arial"/>
          <w:sz w:val="22"/>
          <w:szCs w:val="22"/>
          <w:lang w:val="en-GB"/>
        </w:rPr>
        <w:t>:2016</w:t>
      </w:r>
      <w:r w:rsidRPr="002F7058">
        <w:rPr>
          <w:rFonts w:ascii="Arial" w:hAnsi="Arial"/>
          <w:sz w:val="22"/>
          <w:szCs w:val="22"/>
          <w:lang w:val="en-GB"/>
        </w:rPr>
        <w:t xml:space="preserve"> - </w:t>
      </w:r>
      <w:r w:rsidRPr="002F7058">
        <w:rPr>
          <w:rFonts w:ascii="Arial" w:hAnsi="Arial" w:cs="Arial"/>
          <w:i/>
          <w:sz w:val="22"/>
          <w:szCs w:val="22"/>
          <w:lang w:val="en-GB"/>
        </w:rPr>
        <w:t xml:space="preserve">Generic Competence for AB Assessors: Application to ISO/IEC 17011 </w:t>
      </w:r>
      <w:r w:rsidRPr="002F7058">
        <w:rPr>
          <w:rFonts w:ascii="Arial" w:hAnsi="Arial" w:cs="Arial"/>
          <w:sz w:val="22"/>
          <w:szCs w:val="22"/>
          <w:lang w:val="en-GB"/>
        </w:rPr>
        <w:t>as a mandatory document for all EA members</w:t>
      </w:r>
      <w:r>
        <w:rPr>
          <w:rFonts w:ascii="Arial" w:hAnsi="Arial" w:cs="Arial"/>
          <w:sz w:val="22"/>
          <w:szCs w:val="22"/>
          <w:lang w:val="en-GB"/>
        </w:rPr>
        <w:t xml:space="preserve"> in the certification (management systems</w:t>
      </w:r>
      <w:r w:rsidR="000F132A" w:rsidRPr="000F132A">
        <w:rPr>
          <w:rFonts w:ascii="Arial" w:hAnsi="Arial" w:cs="Arial"/>
          <w:sz w:val="22"/>
          <w:szCs w:val="22"/>
          <w:lang w:val="en-GB"/>
        </w:rPr>
        <w:t>, products and persons) and verification area</w:t>
      </w:r>
      <w:r>
        <w:rPr>
          <w:rFonts w:ascii="Arial" w:hAnsi="Arial" w:cs="Arial"/>
          <w:sz w:val="22"/>
          <w:szCs w:val="22"/>
          <w:lang w:val="en-GB"/>
        </w:rPr>
        <w:t>s</w:t>
      </w:r>
      <w:r w:rsidR="000F132A" w:rsidRPr="000F132A">
        <w:rPr>
          <w:rFonts w:ascii="Arial" w:hAnsi="Arial" w:cs="Arial"/>
          <w:sz w:val="22"/>
          <w:szCs w:val="22"/>
          <w:lang w:val="en-GB"/>
        </w:rPr>
        <w:t xml:space="preserve"> only. It is not applicable for testing, calibration and inspection.</w:t>
      </w:r>
    </w:p>
    <w:p w:rsidR="009E4FFC" w:rsidRDefault="009E4FFC" w:rsidP="00522A8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E55DDB" w:rsidRDefault="00E55DDB" w:rsidP="009E4FFC">
      <w:pPr>
        <w:pStyle w:val="Nadpis1"/>
        <w:jc w:val="both"/>
        <w:rPr>
          <w:rFonts w:cs="Arial"/>
          <w:sz w:val="22"/>
          <w:szCs w:val="22"/>
        </w:rPr>
      </w:pPr>
      <w:r w:rsidRPr="00A57EFA">
        <w:rPr>
          <w:rFonts w:cs="Arial"/>
          <w:sz w:val="22"/>
          <w:szCs w:val="22"/>
        </w:rPr>
        <w:t xml:space="preserve">EA Resolution </w:t>
      </w:r>
      <w:r>
        <w:rPr>
          <w:rFonts w:cs="Arial"/>
          <w:sz w:val="22"/>
          <w:szCs w:val="22"/>
        </w:rPr>
        <w:t xml:space="preserve">2016 (38) </w:t>
      </w:r>
      <w:r w:rsidR="00BA07A8">
        <w:rPr>
          <w:rFonts w:cs="Arial"/>
          <w:sz w:val="22"/>
          <w:szCs w:val="22"/>
        </w:rPr>
        <w:t>17</w:t>
      </w:r>
    </w:p>
    <w:p w:rsidR="00A72C64" w:rsidRPr="006101BD" w:rsidRDefault="00E55DDB" w:rsidP="00E55DDB">
      <w:pPr>
        <w:jc w:val="both"/>
        <w:rPr>
          <w:rFonts w:ascii="Arial" w:hAnsi="Arial" w:cs="Arial"/>
          <w:sz w:val="22"/>
          <w:szCs w:val="22"/>
          <w:lang w:val="en-GB"/>
        </w:rPr>
      </w:pPr>
      <w:r w:rsidRPr="00E55DDB">
        <w:rPr>
          <w:rFonts w:ascii="Arial" w:hAnsi="Arial" w:cs="Arial"/>
          <w:sz w:val="22"/>
          <w:szCs w:val="22"/>
          <w:lang w:val="en-GB"/>
        </w:rPr>
        <w:t xml:space="preserve">The General Assembly, acting upon recommendation from the Certification Committee, </w:t>
      </w:r>
      <w:r w:rsidR="003A12EC" w:rsidRPr="006101BD">
        <w:rPr>
          <w:rFonts w:ascii="Arial" w:hAnsi="Arial" w:cs="Arial"/>
          <w:sz w:val="22"/>
          <w:szCs w:val="22"/>
          <w:lang w:val="en-GB"/>
        </w:rPr>
        <w:t>endorses the mandatory application of</w:t>
      </w:r>
      <w:r w:rsidRPr="006101BD">
        <w:rPr>
          <w:rFonts w:ascii="Arial" w:hAnsi="Arial" w:cs="Arial"/>
          <w:sz w:val="22"/>
          <w:szCs w:val="22"/>
          <w:lang w:val="en-GB"/>
        </w:rPr>
        <w:t>:</w:t>
      </w:r>
    </w:p>
    <w:p w:rsidR="00B433FE" w:rsidRPr="006101BD" w:rsidRDefault="00B433FE" w:rsidP="009E4FF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6101BD">
        <w:rPr>
          <w:rFonts w:ascii="Arial" w:hAnsi="Arial" w:cs="Arial"/>
          <w:color w:val="262626" w:themeColor="text1" w:themeTint="D9"/>
          <w:sz w:val="22"/>
          <w:szCs w:val="22"/>
          <w:lang w:val="en-GB"/>
        </w:rPr>
        <w:t>ISO</w:t>
      </w:r>
      <w:r w:rsidR="00477539" w:rsidRPr="006101BD">
        <w:rPr>
          <w:rFonts w:ascii="Arial" w:hAnsi="Arial" w:cs="Arial"/>
          <w:color w:val="262626" w:themeColor="text1" w:themeTint="D9"/>
          <w:sz w:val="22"/>
          <w:szCs w:val="22"/>
          <w:lang w:val="en-GB"/>
        </w:rPr>
        <w:t>/IEC TS </w:t>
      </w:r>
      <w:r w:rsidR="009E4FFC" w:rsidRPr="006101BD">
        <w:rPr>
          <w:rFonts w:ascii="Arial" w:hAnsi="Arial" w:cs="Arial"/>
          <w:color w:val="262626" w:themeColor="text1" w:themeTint="D9"/>
          <w:sz w:val="22"/>
          <w:szCs w:val="22"/>
          <w:lang w:val="en-GB"/>
        </w:rPr>
        <w:t>17021-5:2014</w:t>
      </w:r>
      <w:r w:rsidRPr="006101BD">
        <w:rPr>
          <w:rFonts w:ascii="Arial" w:hAnsi="Arial" w:cs="Arial"/>
          <w:color w:val="262626" w:themeColor="text1" w:themeTint="D9"/>
          <w:sz w:val="22"/>
          <w:szCs w:val="22"/>
          <w:lang w:val="en-GB"/>
        </w:rPr>
        <w:t xml:space="preserve"> </w:t>
      </w:r>
      <w:r w:rsidRPr="006101BD">
        <w:rPr>
          <w:rFonts w:ascii="Arial" w:hAnsi="Arial" w:cs="Arial"/>
          <w:sz w:val="22"/>
          <w:szCs w:val="22"/>
          <w:lang w:val="en-GB"/>
        </w:rPr>
        <w:t xml:space="preserve">-- </w:t>
      </w:r>
      <w:r w:rsidR="00283D37" w:rsidRPr="006101BD">
        <w:rPr>
          <w:rFonts w:ascii="Arial" w:hAnsi="Arial" w:cs="Arial"/>
          <w:i/>
          <w:sz w:val="22"/>
          <w:szCs w:val="22"/>
          <w:lang w:val="en-US"/>
        </w:rPr>
        <w:t>Conformity assessment -- Requirements for bodies providing audit and certification of management systems -- Part 5: Competence requirements for auditing and certification of asset management systems</w:t>
      </w:r>
    </w:p>
    <w:p w:rsidR="00E55DDB" w:rsidRPr="00A72C64" w:rsidRDefault="004A0819" w:rsidP="009E4FF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6101BD">
        <w:rPr>
          <w:rFonts w:ascii="Arial" w:hAnsi="Arial" w:cs="Arial"/>
          <w:color w:val="262626" w:themeColor="text1" w:themeTint="D9"/>
          <w:sz w:val="22"/>
          <w:szCs w:val="22"/>
          <w:lang w:val="en-US"/>
        </w:rPr>
        <w:t>ISO</w:t>
      </w:r>
      <w:r w:rsidR="00477539" w:rsidRPr="006101BD">
        <w:rPr>
          <w:rFonts w:ascii="Arial" w:hAnsi="Arial" w:cs="Arial"/>
          <w:color w:val="262626" w:themeColor="text1" w:themeTint="D9"/>
          <w:sz w:val="22"/>
          <w:szCs w:val="22"/>
          <w:lang w:val="en-US"/>
        </w:rPr>
        <w:t>/IEC TS </w:t>
      </w:r>
      <w:r w:rsidR="00E55DDB" w:rsidRPr="006101BD">
        <w:rPr>
          <w:rFonts w:ascii="Arial" w:hAnsi="Arial" w:cs="Arial"/>
          <w:color w:val="262626" w:themeColor="text1" w:themeTint="D9"/>
          <w:sz w:val="22"/>
          <w:szCs w:val="22"/>
          <w:lang w:val="en-US"/>
        </w:rPr>
        <w:t xml:space="preserve">17021-6:2014 </w:t>
      </w:r>
      <w:r w:rsidR="00B433FE" w:rsidRPr="006101BD">
        <w:rPr>
          <w:rFonts w:ascii="Arial" w:hAnsi="Arial" w:cs="Arial"/>
          <w:sz w:val="22"/>
          <w:szCs w:val="22"/>
          <w:lang w:val="en-US"/>
        </w:rPr>
        <w:t>--</w:t>
      </w:r>
      <w:r w:rsidR="00E55DDB" w:rsidRPr="006101BD">
        <w:rPr>
          <w:rFonts w:ascii="Arial" w:hAnsi="Arial" w:cs="Arial"/>
          <w:sz w:val="22"/>
          <w:szCs w:val="22"/>
          <w:lang w:val="en-US"/>
        </w:rPr>
        <w:t xml:space="preserve"> </w:t>
      </w:r>
      <w:r w:rsidR="00E55DDB" w:rsidRPr="006101BD">
        <w:rPr>
          <w:rFonts w:ascii="Arial" w:hAnsi="Arial" w:cs="Arial"/>
          <w:i/>
          <w:sz w:val="22"/>
          <w:szCs w:val="22"/>
          <w:lang w:val="en-US"/>
        </w:rPr>
        <w:t>Conformity assessment -- Requirements for bodies providing audit and certification of management</w:t>
      </w:r>
      <w:r w:rsidR="00E55DDB" w:rsidRPr="00A72C64">
        <w:rPr>
          <w:rFonts w:ascii="Arial" w:hAnsi="Arial" w:cs="Arial"/>
          <w:i/>
          <w:sz w:val="22"/>
          <w:szCs w:val="22"/>
          <w:lang w:val="en-US"/>
        </w:rPr>
        <w:t xml:space="preserve"> systems -- Part 6: Competence requirements for auditing and certification of business continuity management systems</w:t>
      </w:r>
    </w:p>
    <w:p w:rsidR="00E55DDB" w:rsidRPr="006101BD" w:rsidRDefault="004A0819" w:rsidP="009E4FF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6101BD">
        <w:rPr>
          <w:rFonts w:ascii="Arial" w:hAnsi="Arial" w:cs="Arial"/>
          <w:color w:val="262626" w:themeColor="text1" w:themeTint="D9"/>
          <w:sz w:val="22"/>
          <w:szCs w:val="22"/>
          <w:lang w:val="en-US"/>
        </w:rPr>
        <w:t>ISO</w:t>
      </w:r>
      <w:r w:rsidR="00477539" w:rsidRPr="006101BD">
        <w:rPr>
          <w:rFonts w:ascii="Arial" w:hAnsi="Arial" w:cs="Arial"/>
          <w:color w:val="262626" w:themeColor="text1" w:themeTint="D9"/>
          <w:sz w:val="22"/>
          <w:szCs w:val="22"/>
          <w:lang w:val="en-US"/>
        </w:rPr>
        <w:t>/IEC TS </w:t>
      </w:r>
      <w:r w:rsidR="00E55DDB" w:rsidRPr="006101BD">
        <w:rPr>
          <w:rFonts w:ascii="Arial" w:hAnsi="Arial" w:cs="Arial"/>
          <w:color w:val="262626" w:themeColor="text1" w:themeTint="D9"/>
          <w:sz w:val="22"/>
          <w:szCs w:val="22"/>
          <w:lang w:val="en-US"/>
        </w:rPr>
        <w:t>17021-7:2014</w:t>
      </w:r>
      <w:r w:rsidR="009E4FFC" w:rsidRPr="006101BD">
        <w:rPr>
          <w:rFonts w:ascii="Arial" w:hAnsi="Arial" w:cs="Arial"/>
          <w:color w:val="262626" w:themeColor="text1" w:themeTint="D9"/>
          <w:sz w:val="22"/>
          <w:szCs w:val="22"/>
          <w:lang w:val="en-US"/>
        </w:rPr>
        <w:t xml:space="preserve"> </w:t>
      </w:r>
      <w:r w:rsidR="009E4FFC" w:rsidRPr="006101BD">
        <w:rPr>
          <w:rFonts w:ascii="Arial" w:hAnsi="Arial" w:cs="Arial"/>
          <w:sz w:val="22"/>
          <w:szCs w:val="22"/>
          <w:lang w:val="en-US"/>
        </w:rPr>
        <w:t xml:space="preserve">-- </w:t>
      </w:r>
      <w:r w:rsidR="00E55DDB" w:rsidRPr="006101BD">
        <w:rPr>
          <w:rFonts w:ascii="Arial" w:hAnsi="Arial" w:cs="Arial"/>
          <w:i/>
          <w:sz w:val="22"/>
          <w:szCs w:val="22"/>
          <w:lang w:val="en-US"/>
        </w:rPr>
        <w:t>Conformity assessment -- Requirements for bodies providing audit and certification of management systems -- Part 7: Competence requirements for auditing and certification of road traffic safety management systems</w:t>
      </w:r>
    </w:p>
    <w:p w:rsidR="00A72C64" w:rsidRPr="009517E8" w:rsidRDefault="00477539" w:rsidP="00E55DDB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6101BD">
        <w:rPr>
          <w:rFonts w:ascii="Arial" w:hAnsi="Arial" w:cs="Arial"/>
          <w:color w:val="262626" w:themeColor="text1" w:themeTint="D9"/>
          <w:sz w:val="22"/>
          <w:szCs w:val="22"/>
          <w:lang w:val="en-US"/>
        </w:rPr>
        <w:t>ISO </w:t>
      </w:r>
      <w:r w:rsidR="00E55DDB" w:rsidRPr="006101BD">
        <w:rPr>
          <w:rFonts w:ascii="Arial" w:hAnsi="Arial" w:cs="Arial"/>
          <w:color w:val="262626" w:themeColor="text1" w:themeTint="D9"/>
          <w:sz w:val="22"/>
          <w:szCs w:val="22"/>
          <w:lang w:val="en-US"/>
        </w:rPr>
        <w:t>50003:2014</w:t>
      </w:r>
      <w:r w:rsidR="009E4FFC" w:rsidRPr="00477539">
        <w:rPr>
          <w:rFonts w:ascii="Arial" w:hAnsi="Arial" w:cs="Arial"/>
          <w:color w:val="262626" w:themeColor="text1" w:themeTint="D9"/>
          <w:sz w:val="22"/>
          <w:szCs w:val="22"/>
          <w:lang w:val="en-US"/>
        </w:rPr>
        <w:t xml:space="preserve"> </w:t>
      </w:r>
      <w:r w:rsidR="00E55DDB" w:rsidRPr="00A72C64">
        <w:rPr>
          <w:rFonts w:ascii="Arial" w:hAnsi="Arial" w:cs="Arial"/>
          <w:i/>
          <w:sz w:val="22"/>
          <w:szCs w:val="22"/>
          <w:lang w:val="en-US"/>
        </w:rPr>
        <w:t>Energy management systems -- Requirements for bodies providing audit and certification of energy management systems</w:t>
      </w:r>
    </w:p>
    <w:p w:rsidR="00E55DDB" w:rsidRPr="009517E8" w:rsidRDefault="009E4FFC" w:rsidP="00E55DDB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as </w:t>
      </w:r>
      <w:r w:rsidR="00E55DDB" w:rsidRPr="00E55DDB">
        <w:rPr>
          <w:rFonts w:ascii="Arial" w:hAnsi="Arial" w:cs="Arial"/>
          <w:sz w:val="22"/>
          <w:szCs w:val="22"/>
          <w:lang w:val="en-US"/>
        </w:rPr>
        <w:t>Level 4 standards</w:t>
      </w:r>
      <w:r w:rsidR="003A12EC">
        <w:rPr>
          <w:rFonts w:ascii="Arial" w:hAnsi="Arial" w:cs="Arial"/>
          <w:sz w:val="22"/>
          <w:szCs w:val="22"/>
          <w:lang w:val="en-US"/>
        </w:rPr>
        <w:t xml:space="preserve"> for all EA Members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9517E8" w:rsidRDefault="009517E8" w:rsidP="00E55DDB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9517E8" w:rsidRDefault="009517E8" w:rsidP="009517E8">
      <w:pPr>
        <w:pStyle w:val="Nadpis1"/>
        <w:jc w:val="both"/>
        <w:rPr>
          <w:rFonts w:cs="Arial"/>
          <w:sz w:val="22"/>
          <w:szCs w:val="22"/>
        </w:rPr>
      </w:pPr>
      <w:r w:rsidRPr="00A57EFA">
        <w:rPr>
          <w:rFonts w:cs="Arial"/>
          <w:sz w:val="22"/>
          <w:szCs w:val="22"/>
        </w:rPr>
        <w:t xml:space="preserve">EA Resolution </w:t>
      </w:r>
      <w:r>
        <w:rPr>
          <w:rFonts w:cs="Arial"/>
          <w:sz w:val="22"/>
          <w:szCs w:val="22"/>
        </w:rPr>
        <w:t xml:space="preserve">2016 (38) </w:t>
      </w:r>
      <w:r w:rsidR="00BA07A8">
        <w:rPr>
          <w:rFonts w:cs="Arial"/>
          <w:sz w:val="22"/>
          <w:szCs w:val="22"/>
        </w:rPr>
        <w:t>18</w:t>
      </w:r>
    </w:p>
    <w:p w:rsidR="009517E8" w:rsidRPr="009517E8" w:rsidRDefault="009517E8" w:rsidP="009517E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A57EFA">
        <w:rPr>
          <w:rFonts w:ascii="Arial" w:hAnsi="Arial" w:cs="Arial"/>
          <w:sz w:val="22"/>
          <w:szCs w:val="22"/>
          <w:lang w:val="en-US"/>
        </w:rPr>
        <w:t>The General Assembly, acting upon recommendation from the Certification Committee, agrees that the EA CC start</w:t>
      </w:r>
      <w:r>
        <w:rPr>
          <w:rFonts w:ascii="Arial" w:hAnsi="Arial" w:cs="Arial"/>
          <w:sz w:val="22"/>
          <w:szCs w:val="22"/>
          <w:lang w:val="en-US"/>
        </w:rPr>
        <w:t xml:space="preserve">s a new work item to revise </w:t>
      </w:r>
      <w:r w:rsidRPr="006101BD">
        <w:rPr>
          <w:rFonts w:ascii="Arial" w:hAnsi="Arial" w:cs="Arial"/>
          <w:color w:val="262626" w:themeColor="text1" w:themeTint="D9"/>
          <w:sz w:val="22"/>
          <w:szCs w:val="22"/>
          <w:lang w:val="en-US"/>
        </w:rPr>
        <w:t>EA-6/04</w:t>
      </w:r>
      <w:r w:rsidRPr="006101BD">
        <w:rPr>
          <w:rFonts w:ascii="Arial" w:hAnsi="Arial" w:cs="Arial"/>
          <w:sz w:val="22"/>
          <w:szCs w:val="22"/>
          <w:lang w:val="en-US"/>
        </w:rPr>
        <w:t>:</w:t>
      </w:r>
      <w:r w:rsidRPr="009517E8">
        <w:rPr>
          <w:rFonts w:ascii="Arial" w:hAnsi="Arial" w:cs="Arial"/>
          <w:sz w:val="22"/>
          <w:szCs w:val="22"/>
          <w:lang w:val="en-US"/>
        </w:rPr>
        <w:t xml:space="preserve"> </w:t>
      </w:r>
      <w:r w:rsidRPr="009517E8">
        <w:rPr>
          <w:rFonts w:ascii="Arial" w:hAnsi="Arial" w:cs="Arial"/>
          <w:i/>
          <w:sz w:val="22"/>
          <w:szCs w:val="22"/>
          <w:lang w:val="en-US"/>
        </w:rPr>
        <w:t>EA Guidelines on the Accreditation of  Certification of Primary Sector Products by Means of Sampling of Sites</w:t>
      </w:r>
      <w:r w:rsidRPr="009517E8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according to</w:t>
      </w:r>
      <w:r w:rsidRPr="009517E8">
        <w:rPr>
          <w:rFonts w:ascii="Arial" w:hAnsi="Arial" w:cs="Arial"/>
          <w:sz w:val="22"/>
          <w:szCs w:val="22"/>
          <w:lang w:val="en-US"/>
        </w:rPr>
        <w:t xml:space="preserve"> the rationale </w:t>
      </w:r>
      <w:r>
        <w:rPr>
          <w:rFonts w:ascii="Arial" w:hAnsi="Arial" w:cs="Arial"/>
          <w:sz w:val="22"/>
          <w:szCs w:val="22"/>
          <w:lang w:val="en-US"/>
        </w:rPr>
        <w:t xml:space="preserve">set out in </w:t>
      </w:r>
      <w:r w:rsidR="006101BD" w:rsidRPr="006101BD">
        <w:rPr>
          <w:rFonts w:ascii="Arial" w:hAnsi="Arial" w:cs="Arial"/>
          <w:sz w:val="22"/>
          <w:szCs w:val="22"/>
          <w:lang w:val="en-US"/>
        </w:rPr>
        <w:t>Document EAGA(16)108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9517E8" w:rsidRPr="009517E8" w:rsidRDefault="009517E8" w:rsidP="009517E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4A0819" w:rsidRDefault="004A0819" w:rsidP="004A0819">
      <w:pPr>
        <w:pStyle w:val="Nadpis1"/>
        <w:jc w:val="both"/>
        <w:rPr>
          <w:rFonts w:cs="Arial"/>
          <w:sz w:val="22"/>
          <w:szCs w:val="22"/>
        </w:rPr>
      </w:pPr>
      <w:r w:rsidRPr="00A57EFA">
        <w:rPr>
          <w:rFonts w:cs="Arial"/>
          <w:sz w:val="22"/>
          <w:szCs w:val="22"/>
        </w:rPr>
        <w:t xml:space="preserve">EA Resolution </w:t>
      </w:r>
      <w:r>
        <w:rPr>
          <w:rFonts w:cs="Arial"/>
          <w:sz w:val="22"/>
          <w:szCs w:val="22"/>
        </w:rPr>
        <w:t xml:space="preserve">2016 (38) </w:t>
      </w:r>
      <w:r w:rsidR="00BA07A8">
        <w:rPr>
          <w:rFonts w:cs="Arial"/>
          <w:sz w:val="22"/>
          <w:szCs w:val="22"/>
        </w:rPr>
        <w:t>19</w:t>
      </w:r>
    </w:p>
    <w:p w:rsidR="004A0819" w:rsidRPr="004A0819" w:rsidRDefault="004A0819" w:rsidP="004A0819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A57EFA">
        <w:rPr>
          <w:rFonts w:ascii="Arial" w:hAnsi="Arial" w:cs="Arial"/>
          <w:sz w:val="22"/>
          <w:szCs w:val="22"/>
          <w:lang w:val="en-US"/>
        </w:rPr>
        <w:t xml:space="preserve">The General Assembly, acting upon recommendation from the </w:t>
      </w:r>
      <w:r>
        <w:rPr>
          <w:rFonts w:ascii="Arial" w:hAnsi="Arial" w:cs="Arial"/>
          <w:sz w:val="22"/>
          <w:szCs w:val="22"/>
          <w:lang w:val="en-US"/>
        </w:rPr>
        <w:t>Laboratory Committee, agrees that the EA L</w:t>
      </w:r>
      <w:r w:rsidRPr="00A57EFA">
        <w:rPr>
          <w:rFonts w:ascii="Arial" w:hAnsi="Arial" w:cs="Arial"/>
          <w:sz w:val="22"/>
          <w:szCs w:val="22"/>
          <w:lang w:val="en-US"/>
        </w:rPr>
        <w:t>C start</w:t>
      </w:r>
      <w:r>
        <w:rPr>
          <w:rFonts w:ascii="Arial" w:hAnsi="Arial" w:cs="Arial"/>
          <w:sz w:val="22"/>
          <w:szCs w:val="22"/>
          <w:lang w:val="en-US"/>
        </w:rPr>
        <w:t xml:space="preserve">s a new work item to </w:t>
      </w:r>
      <w:r w:rsidRPr="004A0819">
        <w:rPr>
          <w:rFonts w:ascii="Arial" w:hAnsi="Arial" w:cs="Arial"/>
          <w:sz w:val="22"/>
          <w:szCs w:val="22"/>
          <w:lang w:val="en-US"/>
        </w:rPr>
        <w:t>review/</w:t>
      </w:r>
      <w:r>
        <w:rPr>
          <w:rFonts w:ascii="Arial" w:hAnsi="Arial" w:cs="Arial"/>
          <w:sz w:val="22"/>
          <w:szCs w:val="22"/>
          <w:lang w:val="en-US"/>
        </w:rPr>
        <w:t xml:space="preserve">revise </w:t>
      </w:r>
      <w:r w:rsidRPr="006101BD">
        <w:rPr>
          <w:rFonts w:ascii="Arial" w:hAnsi="Arial" w:cs="Arial"/>
          <w:color w:val="262626" w:themeColor="text1" w:themeTint="D9"/>
          <w:sz w:val="22"/>
          <w:szCs w:val="22"/>
          <w:lang w:val="en-US"/>
        </w:rPr>
        <w:t>EA-2/14</w:t>
      </w:r>
      <w:r w:rsidRPr="006101BD">
        <w:rPr>
          <w:rFonts w:ascii="Arial" w:hAnsi="Arial" w:cs="Arial"/>
          <w:sz w:val="22"/>
          <w:szCs w:val="22"/>
          <w:lang w:val="en-US"/>
        </w:rPr>
        <w:t>:</w:t>
      </w:r>
      <w:r w:rsidRPr="004A0819">
        <w:rPr>
          <w:rFonts w:ascii="Arial" w:hAnsi="Arial" w:cs="Arial"/>
          <w:sz w:val="22"/>
          <w:szCs w:val="22"/>
          <w:lang w:val="en-US"/>
        </w:rPr>
        <w:t xml:space="preserve"> </w:t>
      </w:r>
      <w:r w:rsidRPr="004A0819">
        <w:rPr>
          <w:rFonts w:ascii="Arial" w:hAnsi="Arial" w:cs="Arial"/>
          <w:i/>
          <w:sz w:val="22"/>
          <w:szCs w:val="22"/>
          <w:lang w:val="en-US"/>
        </w:rPr>
        <w:t>Procedure for Regional Calibration ILCs in Support of the EA MLA</w:t>
      </w:r>
      <w:r w:rsidRPr="009517E8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according to</w:t>
      </w:r>
      <w:r w:rsidRPr="009517E8">
        <w:rPr>
          <w:rFonts w:ascii="Arial" w:hAnsi="Arial" w:cs="Arial"/>
          <w:sz w:val="22"/>
          <w:szCs w:val="22"/>
          <w:lang w:val="en-US"/>
        </w:rPr>
        <w:t xml:space="preserve"> the rationale </w:t>
      </w:r>
      <w:r>
        <w:rPr>
          <w:rFonts w:ascii="Arial" w:hAnsi="Arial" w:cs="Arial"/>
          <w:sz w:val="22"/>
          <w:szCs w:val="22"/>
          <w:lang w:val="en-US"/>
        </w:rPr>
        <w:t xml:space="preserve">set out in </w:t>
      </w:r>
      <w:r w:rsidRPr="004A0819">
        <w:rPr>
          <w:rFonts w:ascii="Arial" w:hAnsi="Arial" w:cs="Arial"/>
          <w:sz w:val="22"/>
          <w:szCs w:val="22"/>
          <w:lang w:val="en-US"/>
        </w:rPr>
        <w:t>Document EAGA(16)88.</w:t>
      </w:r>
    </w:p>
    <w:p w:rsidR="004A0819" w:rsidRPr="00FE38BC" w:rsidRDefault="004A0819" w:rsidP="004A0819">
      <w:pPr>
        <w:pStyle w:val="Nadpis1"/>
        <w:jc w:val="both"/>
        <w:rPr>
          <w:rFonts w:cs="Arial"/>
          <w:b w:val="0"/>
          <w:i w:val="0"/>
          <w:sz w:val="22"/>
          <w:szCs w:val="22"/>
        </w:rPr>
      </w:pPr>
    </w:p>
    <w:p w:rsidR="004A0819" w:rsidRDefault="004A0819" w:rsidP="004A0819">
      <w:pPr>
        <w:pStyle w:val="Nadpis1"/>
        <w:jc w:val="both"/>
        <w:rPr>
          <w:rFonts w:cs="Arial"/>
          <w:sz w:val="22"/>
          <w:szCs w:val="22"/>
        </w:rPr>
      </w:pPr>
      <w:r w:rsidRPr="00A57EFA">
        <w:rPr>
          <w:rFonts w:cs="Arial"/>
          <w:sz w:val="22"/>
          <w:szCs w:val="22"/>
        </w:rPr>
        <w:t xml:space="preserve">EA Resolution </w:t>
      </w:r>
      <w:r>
        <w:rPr>
          <w:rFonts w:cs="Arial"/>
          <w:sz w:val="22"/>
          <w:szCs w:val="22"/>
        </w:rPr>
        <w:t xml:space="preserve">2016 (38) </w:t>
      </w:r>
      <w:r w:rsidR="00BA07A8">
        <w:rPr>
          <w:rFonts w:cs="Arial"/>
          <w:sz w:val="22"/>
          <w:szCs w:val="22"/>
        </w:rPr>
        <w:t>20</w:t>
      </w:r>
    </w:p>
    <w:p w:rsidR="004A0819" w:rsidRPr="004A0819" w:rsidRDefault="004A0819" w:rsidP="004A081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A0819">
        <w:rPr>
          <w:rFonts w:ascii="Arial" w:hAnsi="Arial" w:cs="Arial"/>
          <w:sz w:val="22"/>
          <w:szCs w:val="22"/>
          <w:lang w:val="en-US"/>
        </w:rPr>
        <w:t xml:space="preserve">The General Assembly, acting upon recommendation from the Laboratory Committee, agrees that the EA LC starts a new work item to </w:t>
      </w:r>
      <w:r>
        <w:rPr>
          <w:rFonts w:ascii="Arial" w:hAnsi="Arial" w:cs="Arial"/>
          <w:sz w:val="22"/>
          <w:szCs w:val="22"/>
          <w:lang w:val="en-GB"/>
        </w:rPr>
        <w:t>elaborate</w:t>
      </w:r>
      <w:r w:rsidRPr="004A0819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an</w:t>
      </w:r>
      <w:r w:rsidRPr="004A0819">
        <w:rPr>
          <w:rFonts w:ascii="Arial" w:hAnsi="Arial" w:cs="Arial"/>
          <w:sz w:val="22"/>
          <w:szCs w:val="22"/>
          <w:lang w:val="en-GB"/>
        </w:rPr>
        <w:t xml:space="preserve"> Informative Document on </w:t>
      </w:r>
      <w:r w:rsidRPr="006101BD">
        <w:rPr>
          <w:rFonts w:ascii="Arial" w:hAnsi="Arial" w:cs="Arial"/>
          <w:i/>
          <w:color w:val="262626" w:themeColor="text1" w:themeTint="D9"/>
          <w:sz w:val="22"/>
          <w:szCs w:val="22"/>
          <w:lang w:val="en-GB"/>
        </w:rPr>
        <w:t>Joint EA - EDQM Communication</w:t>
      </w:r>
      <w:r w:rsidRPr="00477539">
        <w:rPr>
          <w:rFonts w:ascii="Arial" w:hAnsi="Arial" w:cs="Arial"/>
          <w:i/>
          <w:color w:val="262626" w:themeColor="text1" w:themeTint="D9"/>
          <w:sz w:val="22"/>
          <w:szCs w:val="22"/>
          <w:lang w:val="en-GB"/>
        </w:rPr>
        <w:t xml:space="preserve"> </w:t>
      </w:r>
      <w:r w:rsidRPr="004A0819">
        <w:rPr>
          <w:rFonts w:ascii="Arial" w:hAnsi="Arial" w:cs="Arial"/>
          <w:i/>
          <w:sz w:val="22"/>
          <w:szCs w:val="22"/>
          <w:lang w:val="en-GB"/>
        </w:rPr>
        <w:t>regarding cooperation when carrying out joint audits/assessments in Official Medicines Control Laboratories</w:t>
      </w:r>
      <w:r w:rsidRPr="004A0819">
        <w:rPr>
          <w:rFonts w:ascii="Arial" w:hAnsi="Arial" w:cs="Arial"/>
          <w:sz w:val="22"/>
          <w:szCs w:val="22"/>
          <w:lang w:val="en-US"/>
        </w:rPr>
        <w:t>, according to the rationale set out in Document EAGA(16)89.</w:t>
      </w:r>
    </w:p>
    <w:p w:rsidR="00D27713" w:rsidRDefault="00D27713" w:rsidP="00522A8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143D8E" w:rsidRPr="00143D8E" w:rsidRDefault="00143D8E" w:rsidP="00143D8E">
      <w:pPr>
        <w:pStyle w:val="Nadpis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EA Resolution 2016</w:t>
      </w:r>
      <w:r w:rsidRPr="00143D8E">
        <w:rPr>
          <w:rFonts w:cs="Arial"/>
          <w:sz w:val="22"/>
          <w:szCs w:val="22"/>
        </w:rPr>
        <w:t xml:space="preserve"> (38) </w:t>
      </w:r>
      <w:r w:rsidR="006101BD">
        <w:rPr>
          <w:rFonts w:cs="Arial"/>
          <w:sz w:val="22"/>
          <w:szCs w:val="22"/>
        </w:rPr>
        <w:t>21</w:t>
      </w:r>
    </w:p>
    <w:p w:rsidR="00143D8E" w:rsidRPr="00A57EFA" w:rsidRDefault="00143D8E" w:rsidP="00143D8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143D8E">
        <w:rPr>
          <w:rFonts w:ascii="Arial" w:hAnsi="Arial" w:cs="Arial"/>
          <w:sz w:val="22"/>
          <w:szCs w:val="22"/>
          <w:lang w:val="en-GB"/>
        </w:rPr>
        <w:t xml:space="preserve">The General Assembly approves the following IAF resolutions adopted at the </w:t>
      </w:r>
      <w:r w:rsidR="00181DC5">
        <w:rPr>
          <w:rFonts w:ascii="Arial" w:hAnsi="Arial" w:cs="Arial"/>
          <w:sz w:val="22"/>
          <w:szCs w:val="22"/>
          <w:lang w:val="en-GB"/>
        </w:rPr>
        <w:t>20</w:t>
      </w:r>
      <w:r w:rsidR="00181DC5" w:rsidRPr="00181DC5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181DC5">
        <w:rPr>
          <w:rFonts w:ascii="Arial" w:hAnsi="Arial" w:cs="Arial"/>
          <w:sz w:val="22"/>
          <w:szCs w:val="22"/>
          <w:lang w:val="en-GB"/>
        </w:rPr>
        <w:t xml:space="preserve"> </w:t>
      </w:r>
      <w:r w:rsidRPr="00143D8E">
        <w:rPr>
          <w:rFonts w:ascii="Arial" w:hAnsi="Arial" w:cs="Arial"/>
          <w:sz w:val="22"/>
          <w:szCs w:val="22"/>
          <w:lang w:val="en-GB"/>
        </w:rPr>
        <w:t xml:space="preserve">IAF General Assembly in </w:t>
      </w:r>
      <w:r w:rsidR="00F422B7">
        <w:rPr>
          <w:rFonts w:ascii="Arial" w:hAnsi="Arial" w:cs="Arial"/>
          <w:sz w:val="22"/>
          <w:szCs w:val="22"/>
          <w:lang w:val="en-GB"/>
        </w:rPr>
        <w:t xml:space="preserve">New Delhi, India in November 2016, as applicable to EA </w:t>
      </w:r>
      <w:r w:rsidR="00983BFC">
        <w:rPr>
          <w:rFonts w:ascii="Arial" w:hAnsi="Arial" w:cs="Arial"/>
          <w:sz w:val="22"/>
          <w:szCs w:val="22"/>
          <w:lang w:val="en-GB"/>
        </w:rPr>
        <w:t>and its m</w:t>
      </w:r>
      <w:r w:rsidR="00F422B7">
        <w:rPr>
          <w:rFonts w:ascii="Arial" w:hAnsi="Arial" w:cs="Arial"/>
          <w:sz w:val="22"/>
          <w:szCs w:val="22"/>
          <w:lang w:val="en-GB"/>
        </w:rPr>
        <w:t>embers:</w:t>
      </w:r>
    </w:p>
    <w:p w:rsidR="00143D8E" w:rsidRPr="00143D8E" w:rsidRDefault="00143D8E" w:rsidP="00143D8E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143D8E" w:rsidRPr="00F422B7" w:rsidRDefault="00143D8E" w:rsidP="00F422B7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</w:pP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IAF Resolution 2016-13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 xml:space="preserve">– (Agenda Item 9) </w:t>
      </w: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Accreditation Scoping for Energy Management Systems (EnMS)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- The General Assembly, acting on the</w:t>
      </w: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recommendation of the Technical Committee, resolved to endorse Table 2 Technical</w:t>
      </w: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 xml:space="preserve">Areas from ISO 50003:2014 </w:t>
      </w:r>
      <w:r w:rsidRPr="00F422B7">
        <w:rPr>
          <w:rFonts w:ascii="Arial" w:eastAsia="Calibri" w:hAnsi="Arial" w:cs="Arial"/>
          <w:i/>
          <w:iCs/>
          <w:sz w:val="22"/>
          <w:szCs w:val="22"/>
          <w:lang w:val="en-US" w:eastAsia="de-DE"/>
        </w:rPr>
        <w:t>Energy management systems -- Requirements for</w:t>
      </w: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F422B7">
        <w:rPr>
          <w:rFonts w:ascii="Arial" w:eastAsia="Calibri" w:hAnsi="Arial" w:cs="Arial"/>
          <w:i/>
          <w:iCs/>
          <w:sz w:val="22"/>
          <w:szCs w:val="22"/>
          <w:lang w:val="en-US" w:eastAsia="de-DE"/>
        </w:rPr>
        <w:t xml:space="preserve">bodies providing audit and certification of energy management systems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as a</w:t>
      </w: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Normative reference for the accreditation scope and grouping of sectors for</w:t>
      </w: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witnessing of energy management systems.</w:t>
      </w:r>
    </w:p>
    <w:p w:rsidR="00143D8E" w:rsidRPr="00F422B7" w:rsidRDefault="00143D8E" w:rsidP="00F422B7">
      <w:pPr>
        <w:ind w:left="426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143D8E" w:rsidRPr="00F422B7" w:rsidRDefault="00143D8E" w:rsidP="00F422B7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</w:pP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IAF Resolution 2016-14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 xml:space="preserve">– (Agenda Item 9) </w:t>
      </w: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Transitional Arrangement for the Revision of ISO/IEC TS 17021-2:2012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- The General Assembly, acting on the</w:t>
      </w: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recommendation of the Technical Committee, resolved that the transition period for</w:t>
      </w: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 xml:space="preserve">the next revision of ISO/IEC TS 17021-2:2012 </w:t>
      </w:r>
      <w:r w:rsidRPr="00F422B7">
        <w:rPr>
          <w:rFonts w:ascii="Arial" w:eastAsia="Calibri" w:hAnsi="Arial" w:cs="Arial"/>
          <w:i/>
          <w:iCs/>
          <w:sz w:val="22"/>
          <w:szCs w:val="22"/>
          <w:lang w:val="en-US" w:eastAsia="de-DE"/>
        </w:rPr>
        <w:t>Conformity assessment --</w:t>
      </w: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F422B7">
        <w:rPr>
          <w:rFonts w:ascii="Arial" w:eastAsia="Calibri" w:hAnsi="Arial" w:cs="Arial"/>
          <w:i/>
          <w:iCs/>
          <w:sz w:val="22"/>
          <w:szCs w:val="22"/>
          <w:lang w:val="en-US" w:eastAsia="de-DE"/>
        </w:rPr>
        <w:t>Requirements for bodies providing audit and certification of management systems --</w:t>
      </w: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F422B7">
        <w:rPr>
          <w:rFonts w:ascii="Arial" w:eastAsia="Calibri" w:hAnsi="Arial" w:cs="Arial"/>
          <w:i/>
          <w:iCs/>
          <w:sz w:val="22"/>
          <w:szCs w:val="22"/>
          <w:lang w:val="en-US" w:eastAsia="de-DE"/>
        </w:rPr>
        <w:t>Part 2: Competence requirements for auditing and certification of environmental</w:t>
      </w: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F422B7">
        <w:rPr>
          <w:rFonts w:ascii="Arial" w:eastAsia="Calibri" w:hAnsi="Arial" w:cs="Arial"/>
          <w:i/>
          <w:iCs/>
          <w:sz w:val="22"/>
          <w:szCs w:val="22"/>
          <w:lang w:val="en-US" w:eastAsia="de-DE"/>
        </w:rPr>
        <w:t>management systems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, will be two years from the date of publication of the revised</w:t>
      </w: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standard.</w:t>
      </w:r>
    </w:p>
    <w:p w:rsidR="00143D8E" w:rsidRPr="00F422B7" w:rsidRDefault="00143D8E" w:rsidP="00F422B7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i/>
          <w:sz w:val="22"/>
          <w:szCs w:val="22"/>
          <w:lang w:val="en-US" w:eastAsia="de-DE"/>
        </w:rPr>
      </w:pPr>
    </w:p>
    <w:p w:rsidR="00143D8E" w:rsidRPr="00F422B7" w:rsidRDefault="00143D8E" w:rsidP="00F422B7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</w:pP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IAF Resolution 2016-15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 xml:space="preserve">– (Agenda Item 9) </w:t>
      </w: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Migration Arrangement for ISO 45001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- The General Assembly, acting on the recommendation of the Technical Committee,</w:t>
      </w: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resolved that the period for migrating accredited certifications from OHSAS</w:t>
      </w: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 xml:space="preserve">18001:2007 to ISO 45001 </w:t>
      </w:r>
      <w:r w:rsidRPr="00F422B7">
        <w:rPr>
          <w:rFonts w:ascii="Arial" w:eastAsia="Calibri" w:hAnsi="Arial" w:cs="Arial"/>
          <w:i/>
          <w:iCs/>
          <w:sz w:val="22"/>
          <w:szCs w:val="22"/>
          <w:lang w:val="en-US" w:eastAsia="de-DE"/>
        </w:rPr>
        <w:t>Occupational health and safety management systems --</w:t>
      </w: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F422B7">
        <w:rPr>
          <w:rFonts w:ascii="Arial" w:eastAsia="Calibri" w:hAnsi="Arial" w:cs="Arial"/>
          <w:i/>
          <w:iCs/>
          <w:sz w:val="22"/>
          <w:szCs w:val="22"/>
          <w:lang w:val="en-US" w:eastAsia="de-DE"/>
        </w:rPr>
        <w:t xml:space="preserve">Requirements with guidance for use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will be three years from the date of publication</w:t>
      </w: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of ISO 45001.</w:t>
      </w:r>
    </w:p>
    <w:p w:rsidR="00143D8E" w:rsidRPr="00F422B7" w:rsidRDefault="00143D8E" w:rsidP="00F422B7">
      <w:pPr>
        <w:ind w:left="426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143D8E" w:rsidRPr="00F422B7" w:rsidRDefault="00143D8E" w:rsidP="00F422B7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</w:pP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IAF Resolution 2016-16 </w:t>
      </w:r>
      <w:r w:rsidRPr="00F422B7">
        <w:rPr>
          <w:rFonts w:ascii="Arial" w:eastAsia="Calibri" w:hAnsi="Arial" w:cs="Arial"/>
          <w:bCs/>
          <w:i/>
          <w:sz w:val="22"/>
          <w:szCs w:val="22"/>
          <w:lang w:val="en-US" w:eastAsia="de-DE"/>
        </w:rPr>
        <w:t>– (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Agenda Item 9</w:t>
      </w:r>
      <w:r w:rsidRPr="00F422B7">
        <w:rPr>
          <w:rFonts w:ascii="Arial" w:eastAsia="Calibri" w:hAnsi="Arial" w:cs="Arial"/>
          <w:bCs/>
          <w:i/>
          <w:sz w:val="22"/>
          <w:szCs w:val="22"/>
          <w:lang w:val="en-US" w:eastAsia="de-DE"/>
        </w:rPr>
        <w:t>)</w:t>
      </w: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Endorsement of ISO 45001:201X as an IAF normative document </w:t>
      </w:r>
      <w:r w:rsidRPr="00F422B7">
        <w:rPr>
          <w:rFonts w:ascii="Arial" w:eastAsia="Calibri" w:hAnsi="Arial" w:cs="Arial"/>
          <w:bCs/>
          <w:i/>
          <w:sz w:val="22"/>
          <w:szCs w:val="22"/>
          <w:lang w:val="en-US" w:eastAsia="de-DE"/>
        </w:rPr>
        <w:t>-</w:t>
      </w: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The General Assembly, acting on the</w:t>
      </w: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recommendation of the Technical Committee, resolved to endorse the soon to be</w:t>
      </w: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published ISO 45001:201X as a normative document.</w:t>
      </w:r>
    </w:p>
    <w:p w:rsidR="00143D8E" w:rsidRPr="00F422B7" w:rsidRDefault="00143D8E" w:rsidP="00F422B7">
      <w:pPr>
        <w:ind w:left="426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143D8E" w:rsidRPr="00F422B7" w:rsidRDefault="00143D8E" w:rsidP="00F422B7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</w:pP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IAF Resolution 2016-17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 xml:space="preserve">– (Agenda Item 9) </w:t>
      </w: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Accredited MS Certification Document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- Further to Resolution 2015-14, The General Assembly, acting on the</w:t>
      </w: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recommendation of the Technical Committee, resolved that in order for a management system certification document to be considered accredited, it must</w:t>
      </w: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display the accreditation symbol, and/or, reference the accreditation status of the CB</w:t>
      </w: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including the identification of the AB.</w:t>
      </w:r>
    </w:p>
    <w:p w:rsidR="00143D8E" w:rsidRPr="00F422B7" w:rsidRDefault="00143D8E" w:rsidP="00F422B7">
      <w:pPr>
        <w:ind w:left="426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143D8E" w:rsidRPr="00F422B7" w:rsidRDefault="00143D8E" w:rsidP="00F422B7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i/>
          <w:sz w:val="22"/>
          <w:szCs w:val="22"/>
          <w:lang w:val="en-US" w:eastAsia="de-DE"/>
        </w:rPr>
      </w:pP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The General Assembly further agreed that management systems certification bodies:</w:t>
      </w:r>
    </w:p>
    <w:p w:rsidR="00143D8E" w:rsidRPr="00F422B7" w:rsidRDefault="00143D8E" w:rsidP="00F422B7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i/>
          <w:sz w:val="22"/>
          <w:szCs w:val="22"/>
          <w:lang w:val="en-US" w:eastAsia="de-DE"/>
        </w:rPr>
      </w:pP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1. must transition certification documentation to include the accreditation symbol, and/or, reference the accreditation status of the CB including the identification of the AB, at the time of recertification decision; no later than 06 November 2019;</w:t>
      </w:r>
    </w:p>
    <w:p w:rsidR="00143D8E" w:rsidRPr="00F422B7" w:rsidRDefault="00143D8E" w:rsidP="00F422B7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i/>
          <w:sz w:val="22"/>
          <w:szCs w:val="22"/>
          <w:lang w:val="en-US" w:eastAsia="de-DE"/>
        </w:rPr>
      </w:pP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2. when granted initial accreditation (for a standard or scope), as of 06 November 2016, the CB must transition (re-issue) previous unaccredited certification documents, within one year after the accreditation decision;</w:t>
      </w:r>
    </w:p>
    <w:p w:rsidR="00143D8E" w:rsidRPr="00F422B7" w:rsidRDefault="00143D8E" w:rsidP="00F422B7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i/>
          <w:sz w:val="22"/>
          <w:szCs w:val="22"/>
          <w:lang w:val="en-US" w:eastAsia="de-DE"/>
        </w:rPr>
      </w:pP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3. must apply this resolution to all management system standards.</w:t>
      </w:r>
    </w:p>
    <w:p w:rsidR="00FE5BC3" w:rsidRPr="00F422B7" w:rsidRDefault="00FE5BC3" w:rsidP="00F422B7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i/>
          <w:sz w:val="22"/>
          <w:szCs w:val="22"/>
          <w:lang w:val="en-US" w:eastAsia="de-DE"/>
        </w:rPr>
      </w:pPr>
    </w:p>
    <w:p w:rsidR="00143D8E" w:rsidRPr="00F422B7" w:rsidRDefault="00143D8E" w:rsidP="00F422B7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i/>
          <w:sz w:val="22"/>
          <w:szCs w:val="22"/>
          <w:lang w:val="en-US" w:eastAsia="de-DE"/>
        </w:rPr>
      </w:pP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Note: If there is an exception to the above, the client mu</w:t>
      </w:r>
      <w:r w:rsidR="00FE5BC3"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 xml:space="preserve">st justify the exception to the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CB and AB, and if accepted by both the CB and</w:t>
      </w:r>
      <w:r w:rsidR="00CF2600"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 xml:space="preserve"> AB, the certification is still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considered accredited.</w:t>
      </w:r>
    </w:p>
    <w:p w:rsidR="00143D8E" w:rsidRPr="00F422B7" w:rsidRDefault="00143D8E" w:rsidP="00F422B7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i/>
          <w:sz w:val="22"/>
          <w:szCs w:val="22"/>
          <w:lang w:val="en-US" w:eastAsia="de-DE"/>
        </w:rPr>
      </w:pPr>
    </w:p>
    <w:p w:rsidR="00143D8E" w:rsidRPr="00F422B7" w:rsidRDefault="00143D8E" w:rsidP="00F422B7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</w:pP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IAF Resolution 2016-18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 xml:space="preserve">– (Agenda Item 9) </w:t>
      </w: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>Exte</w:t>
      </w:r>
      <w:r w:rsidR="00FE5BC3"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nsion of IAF MD19 Application </w:t>
      </w:r>
      <w:r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Date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- The General Assembly, acting on the recommendation of the Technical</w:t>
      </w:r>
      <w:r w:rsidR="00FE5BC3"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 xml:space="preserve">Committee, resolved that the application date of IAF MD 19: </w:t>
      </w:r>
      <w:r w:rsidRPr="00F422B7">
        <w:rPr>
          <w:rFonts w:ascii="Arial" w:eastAsia="Calibri" w:hAnsi="Arial" w:cs="Arial"/>
          <w:i/>
          <w:iCs/>
          <w:sz w:val="22"/>
          <w:szCs w:val="22"/>
          <w:lang w:val="en-US" w:eastAsia="de-DE"/>
        </w:rPr>
        <w:t>IAF Mandatory</w:t>
      </w:r>
      <w:r w:rsidR="00FE5BC3"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F422B7">
        <w:rPr>
          <w:rFonts w:ascii="Arial" w:eastAsia="Calibri" w:hAnsi="Arial" w:cs="Arial"/>
          <w:i/>
          <w:iCs/>
          <w:sz w:val="22"/>
          <w:szCs w:val="22"/>
          <w:lang w:val="en-US" w:eastAsia="de-DE"/>
        </w:rPr>
        <w:t>Document For The Audit and Certification of a Management System operated by a</w:t>
      </w:r>
      <w:r w:rsidR="00FE5BC3"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F422B7">
        <w:rPr>
          <w:rFonts w:ascii="Arial" w:eastAsia="Calibri" w:hAnsi="Arial" w:cs="Arial"/>
          <w:i/>
          <w:iCs/>
          <w:sz w:val="22"/>
          <w:szCs w:val="22"/>
          <w:lang w:val="en-US" w:eastAsia="de-DE"/>
        </w:rPr>
        <w:t xml:space="preserve">Multi-Site Organization (where application of site sampling is not appropriate)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be</w:t>
      </w:r>
      <w:r w:rsidR="00FE5BC3" w:rsidRPr="00F422B7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F422B7">
        <w:rPr>
          <w:rFonts w:ascii="Arial" w:eastAsia="Calibri" w:hAnsi="Arial" w:cs="Arial"/>
          <w:i/>
          <w:sz w:val="22"/>
          <w:szCs w:val="22"/>
          <w:lang w:val="en-US" w:eastAsia="de-DE"/>
        </w:rPr>
        <w:t>extended one year to 31 March 2018.</w:t>
      </w:r>
    </w:p>
    <w:p w:rsidR="00143D8E" w:rsidRPr="00AD3D2E" w:rsidRDefault="00143D8E" w:rsidP="00AD3D2E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F422B7" w:rsidRPr="00AD3D2E" w:rsidRDefault="00AD3D2E" w:rsidP="00AD3D2E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</w:pPr>
      <w:r w:rsidRPr="00AD3D2E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IAF Resolution 2016-24 </w:t>
      </w:r>
      <w:r w:rsidRPr="00AD3D2E">
        <w:rPr>
          <w:rFonts w:ascii="Arial" w:eastAsia="Calibri" w:hAnsi="Arial" w:cs="Arial"/>
          <w:i/>
          <w:sz w:val="22"/>
          <w:szCs w:val="22"/>
          <w:lang w:val="en-US" w:eastAsia="de-DE"/>
        </w:rPr>
        <w:t xml:space="preserve">– (Agenda Item 10) </w:t>
      </w:r>
      <w:r w:rsidRPr="00AD3D2E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General Policy for MLA Scope Extensions under Management System Certification </w:t>
      </w:r>
      <w:r w:rsidRPr="00AD3D2E">
        <w:rPr>
          <w:rFonts w:ascii="Arial" w:eastAsia="Calibri" w:hAnsi="Arial" w:cs="Arial"/>
          <w:i/>
          <w:sz w:val="22"/>
          <w:szCs w:val="22"/>
          <w:lang w:val="en-US" w:eastAsia="de-DE"/>
        </w:rPr>
        <w:t>- In Accordance with the</w:t>
      </w:r>
      <w:r w:rsidRPr="00AD3D2E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AD3D2E">
        <w:rPr>
          <w:rFonts w:ascii="Arial" w:eastAsia="Calibri" w:hAnsi="Arial" w:cs="Arial"/>
          <w:i/>
          <w:sz w:val="22"/>
          <w:szCs w:val="22"/>
          <w:lang w:val="en-US" w:eastAsia="de-DE"/>
        </w:rPr>
        <w:t>amended requirements as provided in IAF ML4:2016 3.1.5 and 3.1.6, the General</w:t>
      </w:r>
      <w:r w:rsidRPr="00AD3D2E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AD3D2E">
        <w:rPr>
          <w:rFonts w:ascii="Arial" w:eastAsia="Calibri" w:hAnsi="Arial" w:cs="Arial"/>
          <w:i/>
          <w:sz w:val="22"/>
          <w:szCs w:val="22"/>
          <w:lang w:val="en-US" w:eastAsia="de-DE"/>
        </w:rPr>
        <w:t>Assembly, acting on the recommendation of the MLA Committee, resolved that the</w:t>
      </w:r>
      <w:r w:rsidRPr="00AD3D2E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AD3D2E">
        <w:rPr>
          <w:rFonts w:ascii="Arial" w:eastAsia="Calibri" w:hAnsi="Arial" w:cs="Arial"/>
          <w:i/>
          <w:sz w:val="22"/>
          <w:szCs w:val="22"/>
          <w:lang w:val="en-US" w:eastAsia="de-DE"/>
        </w:rPr>
        <w:t>following principle be applied for the extension to all Sub-Scopes of Management</w:t>
      </w:r>
      <w:r w:rsidRPr="00AD3D2E">
        <w:rPr>
          <w:rFonts w:ascii="Arial" w:eastAsia="Calibri" w:hAnsi="Arial" w:cs="Arial"/>
          <w:b/>
          <w:bCs/>
          <w:i/>
          <w:sz w:val="22"/>
          <w:szCs w:val="22"/>
          <w:lang w:val="en-US" w:eastAsia="de-DE"/>
        </w:rPr>
        <w:t xml:space="preserve"> </w:t>
      </w:r>
      <w:r w:rsidRPr="00AD3D2E">
        <w:rPr>
          <w:rFonts w:ascii="Arial" w:eastAsia="Calibri" w:hAnsi="Arial" w:cs="Arial"/>
          <w:i/>
          <w:sz w:val="22"/>
          <w:szCs w:val="22"/>
          <w:lang w:val="en-US" w:eastAsia="de-DE"/>
        </w:rPr>
        <w:t>System Certification as follows:</w:t>
      </w:r>
    </w:p>
    <w:p w:rsidR="00AD3D2E" w:rsidRPr="00AD3D2E" w:rsidRDefault="00AD3D2E" w:rsidP="00AD3D2E">
      <w:pPr>
        <w:ind w:left="426"/>
        <w:jc w:val="both"/>
        <w:rPr>
          <w:rFonts w:ascii="Arial" w:eastAsia="Calibri" w:hAnsi="Arial" w:cs="Arial"/>
          <w:i/>
          <w:sz w:val="22"/>
          <w:szCs w:val="22"/>
          <w:lang w:val="en-US" w:eastAsia="de-DE"/>
        </w:rPr>
      </w:pPr>
    </w:p>
    <w:p w:rsidR="00AD3D2E" w:rsidRPr="00AD3D2E" w:rsidRDefault="00AD3D2E" w:rsidP="00AD3D2E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i/>
          <w:sz w:val="22"/>
          <w:szCs w:val="22"/>
          <w:lang w:val="en-US" w:eastAsia="de-DE"/>
        </w:rPr>
      </w:pPr>
      <w:r w:rsidRPr="00AD3D2E">
        <w:rPr>
          <w:rFonts w:ascii="Arial" w:eastAsia="Calibri" w:hAnsi="Arial" w:cs="Arial"/>
          <w:i/>
          <w:sz w:val="22"/>
          <w:szCs w:val="22"/>
          <w:u w:val="single"/>
          <w:lang w:val="en-US" w:eastAsia="de-DE"/>
        </w:rPr>
        <w:t xml:space="preserve">For </w:t>
      </w:r>
      <w:r w:rsidR="00E87C1C">
        <w:rPr>
          <w:rFonts w:ascii="Arial" w:eastAsia="Calibri" w:hAnsi="Arial" w:cs="Arial"/>
          <w:i/>
          <w:sz w:val="22"/>
          <w:szCs w:val="22"/>
          <w:u w:val="single"/>
          <w:lang w:val="en-US" w:eastAsia="de-DE"/>
        </w:rPr>
        <w:t>Individual ABs</w:t>
      </w:r>
      <w:r w:rsidRPr="00AD3D2E">
        <w:rPr>
          <w:rFonts w:ascii="Arial" w:eastAsia="Calibri" w:hAnsi="Arial" w:cs="Arial"/>
          <w:i/>
          <w:sz w:val="22"/>
          <w:szCs w:val="22"/>
          <w:lang w:val="en-US" w:eastAsia="de-DE"/>
        </w:rPr>
        <w:t>:</w:t>
      </w:r>
    </w:p>
    <w:p w:rsidR="00AD3D2E" w:rsidRPr="00AD3D2E" w:rsidRDefault="00AD3D2E" w:rsidP="00AD3D2E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i/>
          <w:sz w:val="22"/>
          <w:szCs w:val="22"/>
          <w:lang w:val="en-US" w:eastAsia="de-DE"/>
        </w:rPr>
      </w:pPr>
    </w:p>
    <w:p w:rsidR="00E87C1C" w:rsidRPr="00E87C1C" w:rsidRDefault="00E87C1C" w:rsidP="00E87C1C">
      <w:pPr>
        <w:spacing w:after="120"/>
        <w:ind w:left="425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E87C1C">
        <w:rPr>
          <w:rFonts w:ascii="Arial" w:hAnsi="Arial" w:cs="Arial"/>
          <w:i/>
          <w:sz w:val="22"/>
          <w:szCs w:val="22"/>
          <w:lang w:val="en-GB"/>
        </w:rPr>
        <w:t>For a signatory to the IAF MLA with a Main Scope of ISO/IEC 17021(-1)</w:t>
      </w:r>
    </w:p>
    <w:p w:rsidR="00E87C1C" w:rsidRDefault="00E87C1C" w:rsidP="00E87C1C">
      <w:pPr>
        <w:ind w:left="709" w:hanging="283"/>
        <w:jc w:val="both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>•</w:t>
      </w:r>
      <w:r>
        <w:rPr>
          <w:rFonts w:ascii="Arial" w:hAnsi="Arial" w:cs="Arial"/>
          <w:i/>
          <w:sz w:val="22"/>
          <w:szCs w:val="22"/>
          <w:lang w:val="en-GB"/>
        </w:rPr>
        <w:tab/>
      </w:r>
      <w:r w:rsidRPr="00E87C1C">
        <w:rPr>
          <w:rFonts w:ascii="Arial" w:hAnsi="Arial" w:cs="Arial"/>
          <w:i/>
          <w:sz w:val="22"/>
          <w:szCs w:val="22"/>
          <w:lang w:val="en-GB"/>
        </w:rPr>
        <w:t>to provide a self-declaration, that the Sub-Scope has been introduced and relevant requirements as defined by IAF have been met (IAF ML4:2016,</w:t>
      </w:r>
      <w:r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E87C1C">
        <w:rPr>
          <w:rFonts w:ascii="Arial" w:hAnsi="Arial" w:cs="Arial"/>
          <w:i/>
          <w:sz w:val="22"/>
          <w:szCs w:val="22"/>
          <w:lang w:val="en-GB"/>
        </w:rPr>
        <w:t xml:space="preserve">3.1.5.ii, 3.1.6.i) </w:t>
      </w:r>
    </w:p>
    <w:p w:rsidR="00E87C1C" w:rsidRPr="00E87C1C" w:rsidRDefault="00E87C1C" w:rsidP="00E87C1C">
      <w:pPr>
        <w:ind w:left="426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E87C1C" w:rsidRPr="00E87C1C" w:rsidRDefault="00E87C1C" w:rsidP="00E87C1C">
      <w:pPr>
        <w:spacing w:after="120"/>
        <w:ind w:left="425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E87C1C">
        <w:rPr>
          <w:rFonts w:ascii="Arial" w:hAnsi="Arial" w:cs="Arial"/>
          <w:i/>
          <w:sz w:val="22"/>
          <w:szCs w:val="22"/>
          <w:lang w:val="en-GB"/>
        </w:rPr>
        <w:t>For a signatory to the IAF MLA but not for the Main Scope of ISO/IEC 17021(-1)</w:t>
      </w:r>
    </w:p>
    <w:p w:rsidR="00E87C1C" w:rsidRDefault="00E87C1C" w:rsidP="00E87C1C">
      <w:pPr>
        <w:ind w:left="709" w:hanging="283"/>
        <w:jc w:val="both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>•</w:t>
      </w:r>
      <w:r>
        <w:rPr>
          <w:rFonts w:ascii="Arial" w:hAnsi="Arial" w:cs="Arial"/>
          <w:i/>
          <w:sz w:val="22"/>
          <w:szCs w:val="22"/>
          <w:lang w:val="en-GB"/>
        </w:rPr>
        <w:tab/>
      </w:r>
      <w:r w:rsidRPr="00E87C1C">
        <w:rPr>
          <w:rFonts w:ascii="Arial" w:hAnsi="Arial" w:cs="Arial"/>
          <w:i/>
          <w:sz w:val="22"/>
          <w:szCs w:val="22"/>
          <w:lang w:val="en-GB"/>
        </w:rPr>
        <w:t>full evaluation in accordance with IAF/ILAC A2 (IAF ML4:2016, 3.1.5.i)</w:t>
      </w:r>
    </w:p>
    <w:p w:rsidR="007A1FFE" w:rsidRDefault="007A1FFE" w:rsidP="00E87C1C">
      <w:pPr>
        <w:ind w:left="709" w:hanging="283"/>
        <w:jc w:val="both"/>
        <w:rPr>
          <w:rFonts w:ascii="Arial" w:eastAsia="Calibri" w:hAnsi="Arial" w:cs="Arial"/>
          <w:i/>
          <w:sz w:val="22"/>
          <w:szCs w:val="22"/>
          <w:lang w:val="en-US" w:eastAsia="de-DE"/>
        </w:rPr>
      </w:pPr>
    </w:p>
    <w:p w:rsidR="007A1FFE" w:rsidRPr="007A1FFE" w:rsidRDefault="007A1FFE" w:rsidP="007A1FFE">
      <w:pPr>
        <w:autoSpaceDE w:val="0"/>
        <w:autoSpaceDN w:val="0"/>
        <w:adjustRightInd w:val="0"/>
        <w:ind w:firstLine="426"/>
        <w:rPr>
          <w:rFonts w:ascii="Arial" w:eastAsia="Calibri" w:hAnsi="Arial" w:cs="Arial"/>
          <w:color w:val="000000"/>
          <w:sz w:val="22"/>
          <w:szCs w:val="22"/>
          <w:u w:val="single"/>
          <w:lang w:val="en-US" w:eastAsia="de-DE"/>
        </w:rPr>
      </w:pPr>
      <w:r w:rsidRPr="007A1FFE">
        <w:rPr>
          <w:rFonts w:ascii="Arial" w:eastAsia="Calibri" w:hAnsi="Arial" w:cs="Arial"/>
          <w:color w:val="000000"/>
          <w:sz w:val="22"/>
          <w:szCs w:val="22"/>
          <w:u w:val="single"/>
          <w:lang w:val="en-US" w:eastAsia="de-DE"/>
        </w:rPr>
        <w:t>For Regional Accreditation Groups:</w:t>
      </w:r>
    </w:p>
    <w:p w:rsidR="007A1FFE" w:rsidRPr="007A1FFE" w:rsidRDefault="007A1FFE" w:rsidP="007A1FFE">
      <w:pPr>
        <w:autoSpaceDE w:val="0"/>
        <w:autoSpaceDN w:val="0"/>
        <w:adjustRightInd w:val="0"/>
        <w:ind w:firstLine="426"/>
        <w:rPr>
          <w:rFonts w:ascii="Arial" w:eastAsia="Calibri" w:hAnsi="Arial" w:cs="Arial"/>
          <w:color w:val="000000"/>
          <w:sz w:val="22"/>
          <w:szCs w:val="22"/>
          <w:lang w:val="en-US" w:eastAsia="de-DE"/>
        </w:rPr>
      </w:pPr>
    </w:p>
    <w:p w:rsidR="007A1FFE" w:rsidRDefault="007A1FFE" w:rsidP="007A1FFE">
      <w:pPr>
        <w:autoSpaceDE w:val="0"/>
        <w:autoSpaceDN w:val="0"/>
        <w:adjustRightInd w:val="0"/>
        <w:ind w:firstLine="426"/>
        <w:rPr>
          <w:rFonts w:ascii="Arial" w:eastAsia="Calibri" w:hAnsi="Arial" w:cs="Arial"/>
          <w:color w:val="000000"/>
          <w:sz w:val="22"/>
          <w:szCs w:val="22"/>
          <w:lang w:val="en-US" w:eastAsia="de-DE"/>
        </w:rPr>
      </w:pPr>
      <w:r w:rsidRPr="007A1FFE">
        <w:rPr>
          <w:rFonts w:ascii="Arial" w:eastAsia="Calibri" w:hAnsi="Arial" w:cs="Arial"/>
          <w:color w:val="000000"/>
          <w:sz w:val="22"/>
          <w:szCs w:val="22"/>
          <w:lang w:val="en-US" w:eastAsia="de-DE"/>
        </w:rPr>
        <w:t>For a signatory to the IAF MLA with a Main Scope of ISO/IEC 17021(-1)</w:t>
      </w:r>
    </w:p>
    <w:p w:rsidR="007A1FFE" w:rsidRPr="007A1FFE" w:rsidRDefault="007A1FFE" w:rsidP="007A1FFE">
      <w:pPr>
        <w:autoSpaceDE w:val="0"/>
        <w:autoSpaceDN w:val="0"/>
        <w:adjustRightInd w:val="0"/>
        <w:ind w:firstLine="426"/>
        <w:rPr>
          <w:rFonts w:ascii="Arial" w:eastAsia="Calibri" w:hAnsi="Arial" w:cs="Arial"/>
          <w:color w:val="000000"/>
          <w:sz w:val="22"/>
          <w:szCs w:val="22"/>
          <w:lang w:val="en-US" w:eastAsia="de-DE"/>
        </w:rPr>
      </w:pPr>
    </w:p>
    <w:p w:rsidR="007A1FFE" w:rsidRPr="00007182" w:rsidRDefault="007A1FFE" w:rsidP="007A1FFE">
      <w:pPr>
        <w:ind w:left="709" w:hanging="283"/>
        <w:jc w:val="both"/>
        <w:rPr>
          <w:rFonts w:ascii="Arial" w:eastAsia="Calibri" w:hAnsi="Arial" w:cs="Arial"/>
          <w:color w:val="000000"/>
          <w:sz w:val="22"/>
          <w:szCs w:val="22"/>
          <w:lang w:val="en-US" w:eastAsia="de-DE"/>
        </w:rPr>
      </w:pPr>
      <w:r w:rsidRPr="00007182">
        <w:rPr>
          <w:rFonts w:ascii="Arial" w:eastAsia="Calibri" w:hAnsi="Arial" w:cs="Arial"/>
          <w:color w:val="000000"/>
          <w:sz w:val="22"/>
          <w:szCs w:val="22"/>
          <w:lang w:val="en-US" w:eastAsia="de-DE"/>
        </w:rPr>
        <w:t>• at least 1 MLA signatory</w:t>
      </w:r>
    </w:p>
    <w:p w:rsidR="007A1FFE" w:rsidRDefault="007A1FFE" w:rsidP="007A1FFE">
      <w:pPr>
        <w:spacing w:before="120"/>
        <w:ind w:left="709" w:hanging="284"/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7A1FFE">
        <w:rPr>
          <w:rFonts w:ascii="Arial" w:hAnsi="Arial" w:cs="Arial"/>
          <w:i/>
          <w:sz w:val="22"/>
          <w:szCs w:val="22"/>
          <w:lang w:val="en-US"/>
        </w:rPr>
        <w:t>• document review</w:t>
      </w:r>
    </w:p>
    <w:p w:rsidR="007A1FFE" w:rsidRPr="007A1FFE" w:rsidRDefault="007A1FFE" w:rsidP="007A1FFE">
      <w:pPr>
        <w:ind w:left="709" w:hanging="283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:rsidR="007A1FFE" w:rsidRPr="007A1FFE" w:rsidRDefault="007A1FFE" w:rsidP="007A1FFE">
      <w:pPr>
        <w:ind w:left="709" w:hanging="283"/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7A1FFE">
        <w:rPr>
          <w:rFonts w:ascii="Arial" w:hAnsi="Arial" w:cs="Arial"/>
          <w:i/>
          <w:sz w:val="22"/>
          <w:szCs w:val="22"/>
          <w:lang w:val="en-US"/>
        </w:rPr>
        <w:t>For a signatory to the IAF MLA but not for a Main Scope of ISO/IEC 17021-1</w:t>
      </w:r>
    </w:p>
    <w:p w:rsidR="007A1FFE" w:rsidRPr="007A1FFE" w:rsidRDefault="007A1FFE" w:rsidP="007A1FFE">
      <w:pPr>
        <w:spacing w:before="120"/>
        <w:ind w:left="709" w:hanging="284"/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7A1FFE">
        <w:rPr>
          <w:rFonts w:ascii="Arial" w:hAnsi="Arial" w:cs="Arial"/>
          <w:i/>
          <w:sz w:val="22"/>
          <w:szCs w:val="22"/>
          <w:lang w:val="en-US"/>
        </w:rPr>
        <w:t>• full evaluation in accordance with IAF/ILAC A1</w:t>
      </w:r>
    </w:p>
    <w:p w:rsidR="007A1FFE" w:rsidRPr="007A1FFE" w:rsidRDefault="007A1FFE" w:rsidP="007A1FFE">
      <w:pPr>
        <w:ind w:left="709" w:hanging="283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:rsidR="007A1FFE" w:rsidRPr="00AD3D2E" w:rsidRDefault="007A1FFE" w:rsidP="007A1FFE">
      <w:pPr>
        <w:ind w:left="709" w:hanging="283"/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7A1FFE">
        <w:rPr>
          <w:rFonts w:ascii="Arial" w:hAnsi="Arial" w:cs="Arial"/>
          <w:i/>
          <w:sz w:val="22"/>
          <w:szCs w:val="22"/>
          <w:lang w:val="en-US"/>
        </w:rPr>
        <w:t>This Resolution supersedes the Note 2 point 3.1.5 of IAF ML4:2016.</w:t>
      </w:r>
    </w:p>
    <w:p w:rsidR="00AD3D2E" w:rsidRDefault="00AD3D2E" w:rsidP="00522A8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7A1FFE" w:rsidRPr="00242266" w:rsidRDefault="007A1FFE" w:rsidP="00522A8C">
      <w:p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r w:rsidRPr="00242266">
        <w:rPr>
          <w:rFonts w:ascii="Arial" w:hAnsi="Arial" w:cs="Arial"/>
          <w:b/>
          <w:i/>
          <w:sz w:val="22"/>
          <w:szCs w:val="22"/>
          <w:lang w:val="en-GB"/>
        </w:rPr>
        <w:t>EA Resolution 2016 (38) 22</w:t>
      </w:r>
    </w:p>
    <w:p w:rsidR="007A1FFE" w:rsidRDefault="007A1FFE" w:rsidP="00522A8C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EA </w:t>
      </w:r>
      <w:r w:rsidR="00242266">
        <w:rPr>
          <w:rFonts w:ascii="Arial" w:hAnsi="Arial" w:cs="Arial"/>
          <w:sz w:val="22"/>
          <w:szCs w:val="22"/>
          <w:lang w:val="en-GB"/>
        </w:rPr>
        <w:t>G</w:t>
      </w:r>
      <w:r>
        <w:rPr>
          <w:rFonts w:ascii="Arial" w:hAnsi="Arial" w:cs="Arial"/>
          <w:sz w:val="22"/>
          <w:szCs w:val="22"/>
          <w:lang w:val="en-GB"/>
        </w:rPr>
        <w:t>eneral Assembly mandates the Executive Committee to take the appropriate actions for the imple</w:t>
      </w:r>
      <w:r w:rsidR="00007182">
        <w:rPr>
          <w:rFonts w:ascii="Arial" w:hAnsi="Arial" w:cs="Arial"/>
          <w:sz w:val="22"/>
          <w:szCs w:val="22"/>
          <w:lang w:val="en-GB"/>
        </w:rPr>
        <w:t>mentation of the IAF R</w:t>
      </w:r>
      <w:r w:rsidR="00242266">
        <w:rPr>
          <w:rFonts w:ascii="Arial" w:hAnsi="Arial" w:cs="Arial"/>
          <w:sz w:val="22"/>
          <w:szCs w:val="22"/>
          <w:lang w:val="en-GB"/>
        </w:rPr>
        <w:t xml:space="preserve">esolutions </w:t>
      </w:r>
      <w:r w:rsidR="00242266" w:rsidRPr="00242266">
        <w:rPr>
          <w:rFonts w:ascii="Arial" w:hAnsi="Arial" w:cs="Arial"/>
          <w:sz w:val="22"/>
          <w:szCs w:val="22"/>
          <w:lang w:val="en-GB"/>
        </w:rPr>
        <w:t>2016-17</w:t>
      </w:r>
      <w:r w:rsidR="00242266">
        <w:rPr>
          <w:rFonts w:ascii="Arial" w:hAnsi="Arial" w:cs="Arial"/>
          <w:sz w:val="22"/>
          <w:szCs w:val="22"/>
          <w:lang w:val="en-GB"/>
        </w:rPr>
        <w:t xml:space="preserve"> and </w:t>
      </w:r>
      <w:r w:rsidR="00242266" w:rsidRPr="00242266">
        <w:rPr>
          <w:rFonts w:ascii="Arial" w:hAnsi="Arial" w:cs="Arial"/>
          <w:sz w:val="22"/>
          <w:szCs w:val="22"/>
          <w:lang w:val="en-GB"/>
        </w:rPr>
        <w:t>2016-24</w:t>
      </w:r>
      <w:r w:rsidR="00242266">
        <w:rPr>
          <w:rFonts w:ascii="Arial" w:hAnsi="Arial" w:cs="Arial"/>
          <w:sz w:val="22"/>
          <w:szCs w:val="22"/>
          <w:lang w:val="en-GB"/>
        </w:rPr>
        <w:t>.</w:t>
      </w:r>
    </w:p>
    <w:p w:rsidR="00242266" w:rsidRDefault="00242266" w:rsidP="00522A8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181DC5" w:rsidRPr="00143D8E" w:rsidRDefault="00181DC5" w:rsidP="00181DC5">
      <w:pPr>
        <w:pStyle w:val="Nadpis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EA Resolution 2016</w:t>
      </w:r>
      <w:r w:rsidRPr="00143D8E">
        <w:rPr>
          <w:rFonts w:cs="Arial"/>
          <w:sz w:val="22"/>
          <w:szCs w:val="22"/>
        </w:rPr>
        <w:t xml:space="preserve"> (38) </w:t>
      </w:r>
      <w:r w:rsidR="00242266">
        <w:rPr>
          <w:rFonts w:cs="Arial"/>
          <w:sz w:val="22"/>
          <w:szCs w:val="22"/>
        </w:rPr>
        <w:t>23</w:t>
      </w:r>
    </w:p>
    <w:p w:rsidR="00181DC5" w:rsidRPr="00A57EFA" w:rsidRDefault="00181DC5" w:rsidP="00181DC5">
      <w:pPr>
        <w:jc w:val="both"/>
        <w:rPr>
          <w:rFonts w:ascii="Arial" w:hAnsi="Arial" w:cs="Arial"/>
          <w:sz w:val="22"/>
          <w:szCs w:val="22"/>
          <w:lang w:val="en-GB"/>
        </w:rPr>
      </w:pPr>
      <w:r w:rsidRPr="00143D8E">
        <w:rPr>
          <w:rFonts w:ascii="Arial" w:hAnsi="Arial" w:cs="Arial"/>
          <w:sz w:val="22"/>
          <w:szCs w:val="22"/>
          <w:lang w:val="en-GB"/>
        </w:rPr>
        <w:t xml:space="preserve">The General Assembly approves the following </w:t>
      </w:r>
      <w:r>
        <w:rPr>
          <w:rFonts w:ascii="Arial" w:hAnsi="Arial" w:cs="Arial"/>
          <w:sz w:val="22"/>
          <w:szCs w:val="22"/>
          <w:lang w:val="en-GB"/>
        </w:rPr>
        <w:t>ILAC</w:t>
      </w:r>
      <w:r w:rsidRPr="00143D8E">
        <w:rPr>
          <w:rFonts w:ascii="Arial" w:hAnsi="Arial" w:cs="Arial"/>
          <w:sz w:val="22"/>
          <w:szCs w:val="22"/>
          <w:lang w:val="en-GB"/>
        </w:rPr>
        <w:t xml:space="preserve"> resolutions adopted at the </w:t>
      </w:r>
      <w:r>
        <w:rPr>
          <w:rFonts w:ascii="Arial" w:hAnsi="Arial" w:cs="Arial"/>
          <w:sz w:val="22"/>
          <w:szCs w:val="22"/>
          <w:lang w:val="en-GB"/>
        </w:rPr>
        <w:t>20</w:t>
      </w:r>
      <w:r w:rsidRPr="00181DC5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ILAC</w:t>
      </w:r>
      <w:r w:rsidRPr="00143D8E">
        <w:rPr>
          <w:rFonts w:ascii="Arial" w:hAnsi="Arial" w:cs="Arial"/>
          <w:sz w:val="22"/>
          <w:szCs w:val="22"/>
          <w:lang w:val="en-GB"/>
        </w:rPr>
        <w:t xml:space="preserve"> General Assembly in </w:t>
      </w:r>
      <w:r>
        <w:rPr>
          <w:rFonts w:ascii="Arial" w:hAnsi="Arial" w:cs="Arial"/>
          <w:sz w:val="22"/>
          <w:szCs w:val="22"/>
          <w:lang w:val="en-GB"/>
        </w:rPr>
        <w:t xml:space="preserve">New Delhi, India in November 2016, as applicable to EA </w:t>
      </w:r>
      <w:r w:rsidR="00983BFC">
        <w:rPr>
          <w:rFonts w:ascii="Arial" w:hAnsi="Arial" w:cs="Arial"/>
          <w:sz w:val="22"/>
          <w:szCs w:val="22"/>
          <w:lang w:val="en-GB"/>
        </w:rPr>
        <w:t>and its m</w:t>
      </w:r>
      <w:r>
        <w:rPr>
          <w:rFonts w:ascii="Arial" w:hAnsi="Arial" w:cs="Arial"/>
          <w:sz w:val="22"/>
          <w:szCs w:val="22"/>
          <w:lang w:val="en-GB"/>
        </w:rPr>
        <w:t>embers:</w:t>
      </w:r>
    </w:p>
    <w:p w:rsidR="00181DC5" w:rsidRPr="00181DC5" w:rsidRDefault="00181DC5" w:rsidP="00181DC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181DC5" w:rsidRPr="00614892" w:rsidRDefault="00181DC5" w:rsidP="00181DC5">
      <w:pPr>
        <w:pStyle w:val="Default"/>
        <w:ind w:left="426"/>
        <w:jc w:val="both"/>
        <w:rPr>
          <w:i/>
          <w:sz w:val="22"/>
          <w:szCs w:val="22"/>
          <w:lang w:val="en-US"/>
        </w:rPr>
      </w:pPr>
      <w:r w:rsidRPr="00614892">
        <w:rPr>
          <w:b/>
          <w:bCs/>
          <w:i/>
          <w:iCs/>
          <w:sz w:val="22"/>
          <w:szCs w:val="22"/>
          <w:lang w:val="en-US"/>
        </w:rPr>
        <w:t xml:space="preserve">ILAC Resolution GA 20.14 </w:t>
      </w:r>
    </w:p>
    <w:p w:rsidR="00181DC5" w:rsidRPr="00181DC5" w:rsidRDefault="00181DC5" w:rsidP="00181DC5">
      <w:pPr>
        <w:ind w:left="426"/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181DC5">
        <w:rPr>
          <w:rFonts w:ascii="Arial" w:hAnsi="Arial" w:cs="Arial"/>
          <w:i/>
          <w:sz w:val="22"/>
          <w:szCs w:val="22"/>
          <w:lang w:val="en-US"/>
        </w:rPr>
        <w:t>As a result of the publication of ISO 17034 in November 2016, replacing ISO Guide 34:2009, the General Assembly endorses the recommendation from the AIC, that accreditation of reference material producers be conducted in accordance with ISO 17034 and that an implementation period of 3 years be adopted.</w:t>
      </w:r>
    </w:p>
    <w:p w:rsidR="00181DC5" w:rsidRPr="00181DC5" w:rsidRDefault="00181DC5" w:rsidP="00181DC5">
      <w:pPr>
        <w:ind w:left="426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E87C1C" w:rsidRDefault="00E87C1C">
      <w:pPr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val="en-US" w:eastAsia="de-DE"/>
        </w:rPr>
      </w:pPr>
    </w:p>
    <w:p w:rsidR="00181DC5" w:rsidRPr="00181DC5" w:rsidRDefault="00181DC5" w:rsidP="00181DC5">
      <w:pPr>
        <w:pStyle w:val="Default"/>
        <w:ind w:left="426"/>
        <w:jc w:val="both"/>
        <w:rPr>
          <w:i/>
          <w:sz w:val="22"/>
          <w:szCs w:val="22"/>
          <w:lang w:val="en-US"/>
        </w:rPr>
      </w:pPr>
      <w:r w:rsidRPr="00181DC5">
        <w:rPr>
          <w:b/>
          <w:bCs/>
          <w:i/>
          <w:iCs/>
          <w:sz w:val="22"/>
          <w:szCs w:val="22"/>
          <w:lang w:val="en-US"/>
        </w:rPr>
        <w:t xml:space="preserve">ILAC Resolution GA 20.15 </w:t>
      </w:r>
    </w:p>
    <w:p w:rsidR="00181DC5" w:rsidRPr="00181DC5" w:rsidRDefault="00181DC5" w:rsidP="00181DC5">
      <w:pPr>
        <w:pStyle w:val="Default"/>
        <w:ind w:left="426"/>
        <w:jc w:val="both"/>
        <w:rPr>
          <w:i/>
          <w:sz w:val="22"/>
          <w:szCs w:val="22"/>
          <w:lang w:val="en-US"/>
        </w:rPr>
      </w:pPr>
      <w:r w:rsidRPr="00181DC5">
        <w:rPr>
          <w:i/>
          <w:sz w:val="22"/>
          <w:szCs w:val="22"/>
          <w:lang w:val="en-US"/>
        </w:rPr>
        <w:t xml:space="preserve">As the revised version of ISO/IEC 17025 is scheduled for publication in 2017, the General Assembly endorses the recommendation of the AIC that a transition period of 3 years from the date of publication be adopted. </w:t>
      </w:r>
    </w:p>
    <w:p w:rsidR="00181DC5" w:rsidRPr="00181DC5" w:rsidRDefault="00181DC5" w:rsidP="00181DC5">
      <w:pPr>
        <w:ind w:left="426"/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181DC5">
        <w:rPr>
          <w:rFonts w:ascii="Arial" w:hAnsi="Arial" w:cs="Arial"/>
          <w:i/>
          <w:sz w:val="22"/>
          <w:szCs w:val="22"/>
          <w:lang w:val="en-US"/>
        </w:rPr>
        <w:t>At the end of the transition period, accreditation of a laboratory to ISO/IEC 17025:2005 will not be recognised under the ILAC Arrangement.</w:t>
      </w:r>
    </w:p>
    <w:p w:rsidR="00AA515F" w:rsidRDefault="00AA515F">
      <w:pPr>
        <w:rPr>
          <w:rFonts w:ascii="Arial" w:hAnsi="Arial" w:cs="Arial"/>
          <w:b/>
          <w:bCs/>
          <w:i/>
          <w:iCs/>
          <w:sz w:val="22"/>
          <w:szCs w:val="22"/>
          <w:lang w:val="en-GB"/>
        </w:rPr>
      </w:pPr>
    </w:p>
    <w:p w:rsidR="00AD3D2E" w:rsidRPr="00143D8E" w:rsidRDefault="00AD3D2E" w:rsidP="00AD3D2E">
      <w:pPr>
        <w:pStyle w:val="Nadpis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EA Resolution 2016</w:t>
      </w:r>
      <w:r w:rsidRPr="00143D8E">
        <w:rPr>
          <w:rFonts w:cs="Arial"/>
          <w:sz w:val="22"/>
          <w:szCs w:val="22"/>
        </w:rPr>
        <w:t xml:space="preserve"> (38) </w:t>
      </w:r>
      <w:r w:rsidR="00242266">
        <w:rPr>
          <w:rFonts w:cs="Arial"/>
          <w:sz w:val="22"/>
          <w:szCs w:val="22"/>
        </w:rPr>
        <w:t>24</w:t>
      </w:r>
    </w:p>
    <w:p w:rsidR="00AD3D2E" w:rsidRPr="00A57EFA" w:rsidRDefault="00AD3D2E" w:rsidP="00AD3D2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143D8E">
        <w:rPr>
          <w:rFonts w:ascii="Arial" w:hAnsi="Arial" w:cs="Arial"/>
          <w:sz w:val="22"/>
          <w:szCs w:val="22"/>
          <w:lang w:val="en-GB"/>
        </w:rPr>
        <w:t>The General Asse</w:t>
      </w:r>
      <w:r>
        <w:rPr>
          <w:rFonts w:ascii="Arial" w:hAnsi="Arial" w:cs="Arial"/>
          <w:sz w:val="22"/>
          <w:szCs w:val="22"/>
          <w:lang w:val="en-GB"/>
        </w:rPr>
        <w:t>mbly approves the following resolution</w:t>
      </w:r>
      <w:r w:rsidRPr="00143D8E">
        <w:rPr>
          <w:rFonts w:ascii="Arial" w:hAnsi="Arial" w:cs="Arial"/>
          <w:sz w:val="22"/>
          <w:szCs w:val="22"/>
          <w:lang w:val="en-GB"/>
        </w:rPr>
        <w:t xml:space="preserve"> adopted at the </w:t>
      </w:r>
      <w:r w:rsidR="00181DC5">
        <w:rPr>
          <w:rFonts w:ascii="Arial" w:hAnsi="Arial" w:cs="Arial"/>
          <w:sz w:val="22"/>
          <w:szCs w:val="22"/>
          <w:lang w:val="en-GB"/>
        </w:rPr>
        <w:t>16</w:t>
      </w:r>
      <w:r w:rsidR="00181DC5" w:rsidRPr="00181DC5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181DC5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IAF-ILAC </w:t>
      </w:r>
      <w:r w:rsidR="00181DC5">
        <w:rPr>
          <w:rFonts w:ascii="Arial" w:hAnsi="Arial" w:cs="Arial"/>
          <w:sz w:val="22"/>
          <w:szCs w:val="22"/>
          <w:lang w:val="en-GB"/>
        </w:rPr>
        <w:t xml:space="preserve">Joint </w:t>
      </w:r>
      <w:r w:rsidRPr="00143D8E">
        <w:rPr>
          <w:rFonts w:ascii="Arial" w:hAnsi="Arial" w:cs="Arial"/>
          <w:sz w:val="22"/>
          <w:szCs w:val="22"/>
          <w:lang w:val="en-GB"/>
        </w:rPr>
        <w:t xml:space="preserve">General Assembly in </w:t>
      </w:r>
      <w:r>
        <w:rPr>
          <w:rFonts w:ascii="Arial" w:hAnsi="Arial" w:cs="Arial"/>
          <w:sz w:val="22"/>
          <w:szCs w:val="22"/>
          <w:lang w:val="en-GB"/>
        </w:rPr>
        <w:t xml:space="preserve">New Delhi, India in November 2016, as applicable to EA </w:t>
      </w:r>
      <w:r w:rsidR="00983BFC">
        <w:rPr>
          <w:rFonts w:ascii="Arial" w:hAnsi="Arial" w:cs="Arial"/>
          <w:sz w:val="22"/>
          <w:szCs w:val="22"/>
          <w:lang w:val="en-GB"/>
        </w:rPr>
        <w:t>and its m</w:t>
      </w:r>
      <w:r>
        <w:rPr>
          <w:rFonts w:ascii="Arial" w:hAnsi="Arial" w:cs="Arial"/>
          <w:sz w:val="22"/>
          <w:szCs w:val="22"/>
          <w:lang w:val="en-GB"/>
        </w:rPr>
        <w:t>embers:</w:t>
      </w:r>
    </w:p>
    <w:p w:rsidR="00AD3D2E" w:rsidRPr="00AD3D2E" w:rsidRDefault="00AD3D2E" w:rsidP="00AD3D2E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AD3D2E" w:rsidRPr="00181DC5" w:rsidRDefault="00AD3D2E" w:rsidP="00AD3D2E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b/>
          <w:bCs/>
          <w:i/>
          <w:iCs/>
          <w:sz w:val="22"/>
          <w:szCs w:val="22"/>
          <w:lang w:val="en-US" w:eastAsia="de-DE"/>
        </w:rPr>
      </w:pPr>
      <w:r w:rsidRPr="00181DC5">
        <w:rPr>
          <w:rFonts w:ascii="Arial" w:eastAsia="Calibri" w:hAnsi="Arial" w:cs="Arial"/>
          <w:b/>
          <w:bCs/>
          <w:i/>
          <w:iCs/>
          <w:sz w:val="22"/>
          <w:szCs w:val="22"/>
          <w:lang w:val="en-US" w:eastAsia="de-DE"/>
        </w:rPr>
        <w:t>JGA Delhi Resolution 1 - Transition to ISO/IEC 17011:2017</w:t>
      </w:r>
    </w:p>
    <w:p w:rsidR="00AD3D2E" w:rsidRPr="00181DC5" w:rsidRDefault="00AD3D2E" w:rsidP="00AD3D2E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i/>
          <w:sz w:val="22"/>
          <w:szCs w:val="22"/>
          <w:lang w:val="en-US" w:eastAsia="de-DE"/>
        </w:rPr>
      </w:pPr>
      <w:r w:rsidRPr="00181DC5">
        <w:rPr>
          <w:rFonts w:ascii="Arial" w:eastAsia="Calibri" w:hAnsi="Arial" w:cs="Arial"/>
          <w:i/>
          <w:sz w:val="22"/>
          <w:szCs w:val="22"/>
          <w:lang w:val="en-US" w:eastAsia="de-DE"/>
        </w:rPr>
        <w:t xml:space="preserve">The Joint General Assembly endorses the recommendation of the Joint Executive Committee, that the transition period for the revised ISO/IEC 17011:2004 </w:t>
      </w:r>
      <w:r w:rsidRPr="00181DC5">
        <w:rPr>
          <w:rFonts w:ascii="Arial" w:eastAsia="Calibri" w:hAnsi="Arial" w:cs="Arial"/>
          <w:i/>
          <w:iCs/>
          <w:sz w:val="22"/>
          <w:szCs w:val="22"/>
          <w:lang w:val="en-US" w:eastAsia="de-DE"/>
        </w:rPr>
        <w:t>Conformity</w:t>
      </w:r>
      <w:r w:rsidRPr="00181DC5">
        <w:rPr>
          <w:rFonts w:ascii="Arial" w:eastAsia="Calibri" w:hAnsi="Arial" w:cs="Arial"/>
          <w:i/>
          <w:sz w:val="22"/>
          <w:szCs w:val="22"/>
          <w:lang w:val="en-US" w:eastAsia="de-DE"/>
        </w:rPr>
        <w:t xml:space="preserve"> </w:t>
      </w:r>
      <w:r w:rsidRPr="00181DC5">
        <w:rPr>
          <w:rFonts w:ascii="Arial" w:eastAsia="Calibri" w:hAnsi="Arial" w:cs="Arial"/>
          <w:i/>
          <w:iCs/>
          <w:sz w:val="22"/>
          <w:szCs w:val="22"/>
          <w:lang w:val="en-US" w:eastAsia="de-DE"/>
        </w:rPr>
        <w:t>assessment — General requirements for accreditation bodies accrediting conformity</w:t>
      </w:r>
      <w:r w:rsidRPr="00181DC5">
        <w:rPr>
          <w:rFonts w:ascii="Arial" w:eastAsia="Calibri" w:hAnsi="Arial" w:cs="Arial"/>
          <w:i/>
          <w:sz w:val="22"/>
          <w:szCs w:val="22"/>
          <w:lang w:val="en-US" w:eastAsia="de-DE"/>
        </w:rPr>
        <w:t xml:space="preserve"> </w:t>
      </w:r>
      <w:r w:rsidRPr="00181DC5">
        <w:rPr>
          <w:rFonts w:ascii="Arial" w:eastAsia="Calibri" w:hAnsi="Arial" w:cs="Arial"/>
          <w:i/>
          <w:iCs/>
          <w:sz w:val="22"/>
          <w:szCs w:val="22"/>
          <w:lang w:val="en-US" w:eastAsia="de-DE"/>
        </w:rPr>
        <w:t xml:space="preserve">assessment bodies </w:t>
      </w:r>
      <w:r w:rsidRPr="00181DC5">
        <w:rPr>
          <w:rFonts w:ascii="Arial" w:eastAsia="Calibri" w:hAnsi="Arial" w:cs="Arial"/>
          <w:i/>
          <w:sz w:val="22"/>
          <w:szCs w:val="22"/>
          <w:lang w:val="en-US" w:eastAsia="de-DE"/>
        </w:rPr>
        <w:t>due for publication in August 2017 will be three years from the date of publication of the revised standard.</w:t>
      </w:r>
    </w:p>
    <w:p w:rsidR="00A13F23" w:rsidRDefault="00A13F23" w:rsidP="00522A8C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5745C8" w:rsidRPr="00143D8E" w:rsidRDefault="005745C8" w:rsidP="005745C8">
      <w:pPr>
        <w:pStyle w:val="Nadpis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EA Resolution 2016</w:t>
      </w:r>
      <w:r w:rsidRPr="00143D8E">
        <w:rPr>
          <w:rFonts w:cs="Arial"/>
          <w:sz w:val="22"/>
          <w:szCs w:val="22"/>
        </w:rPr>
        <w:t xml:space="preserve"> (38) </w:t>
      </w:r>
      <w:r w:rsidR="00242266">
        <w:rPr>
          <w:rFonts w:cs="Arial"/>
          <w:sz w:val="22"/>
          <w:szCs w:val="22"/>
        </w:rPr>
        <w:t>25</w:t>
      </w:r>
    </w:p>
    <w:p w:rsidR="005745C8" w:rsidRPr="00A57EFA" w:rsidRDefault="005745C8" w:rsidP="005745C8">
      <w:pPr>
        <w:pStyle w:val="Zkladntext3"/>
        <w:spacing w:after="120"/>
        <w:outlineLvl w:val="9"/>
        <w:rPr>
          <w:rFonts w:cs="Arial"/>
          <w:sz w:val="22"/>
          <w:szCs w:val="22"/>
        </w:rPr>
      </w:pPr>
      <w:r w:rsidRPr="00A57EFA">
        <w:rPr>
          <w:rFonts w:cs="Arial"/>
          <w:sz w:val="22"/>
          <w:szCs w:val="22"/>
        </w:rPr>
        <w:t>The General Assembly agrees the following dates and venues for future meetings:</w:t>
      </w:r>
    </w:p>
    <w:p w:rsidR="005745C8" w:rsidRDefault="005745C8" w:rsidP="005745C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A57EFA">
        <w:rPr>
          <w:rFonts w:ascii="Arial" w:hAnsi="Arial" w:cs="Arial"/>
          <w:sz w:val="22"/>
          <w:szCs w:val="22"/>
          <w:lang w:val="en-US"/>
        </w:rPr>
        <w:t xml:space="preserve">23-24 May  2017 in </w:t>
      </w:r>
      <w:r>
        <w:rPr>
          <w:rFonts w:ascii="Arial" w:hAnsi="Arial" w:cs="Arial"/>
          <w:sz w:val="22"/>
          <w:szCs w:val="22"/>
          <w:lang w:val="en-US"/>
        </w:rPr>
        <w:t>Bled</w:t>
      </w:r>
      <w:r w:rsidRPr="00A57EFA">
        <w:rPr>
          <w:rFonts w:ascii="Arial" w:hAnsi="Arial" w:cs="Arial"/>
          <w:sz w:val="22"/>
          <w:szCs w:val="22"/>
          <w:lang w:val="en-US"/>
        </w:rPr>
        <w:t>, Slovenia</w:t>
      </w:r>
    </w:p>
    <w:p w:rsidR="005745C8" w:rsidRPr="006101BD" w:rsidRDefault="00983BFC" w:rsidP="005745C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6101BD">
        <w:rPr>
          <w:rFonts w:ascii="Arial" w:hAnsi="Arial" w:cs="Arial"/>
          <w:sz w:val="22"/>
          <w:szCs w:val="22"/>
          <w:lang w:val="en-US"/>
        </w:rPr>
        <w:t xml:space="preserve">22-23 </w:t>
      </w:r>
      <w:r w:rsidR="007200CF" w:rsidRPr="006101BD">
        <w:rPr>
          <w:rFonts w:ascii="Arial" w:hAnsi="Arial" w:cs="Arial"/>
          <w:sz w:val="22"/>
          <w:szCs w:val="22"/>
          <w:lang w:val="en-US"/>
        </w:rPr>
        <w:t>November</w:t>
      </w:r>
      <w:r w:rsidRPr="006101BD">
        <w:rPr>
          <w:rFonts w:ascii="Arial" w:hAnsi="Arial" w:cs="Arial"/>
          <w:sz w:val="22"/>
          <w:szCs w:val="22"/>
          <w:lang w:val="en-US"/>
        </w:rPr>
        <w:t xml:space="preserve"> </w:t>
      </w:r>
      <w:r w:rsidR="005745C8" w:rsidRPr="006101BD">
        <w:rPr>
          <w:rFonts w:ascii="Arial" w:hAnsi="Arial" w:cs="Arial"/>
          <w:sz w:val="22"/>
          <w:szCs w:val="22"/>
          <w:lang w:val="en-US"/>
        </w:rPr>
        <w:t>2017 in Berlin, Germany</w:t>
      </w:r>
    </w:p>
    <w:p w:rsidR="005745C8" w:rsidRPr="006101BD" w:rsidRDefault="005745C8" w:rsidP="005745C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6101BD">
        <w:rPr>
          <w:rFonts w:ascii="Arial" w:hAnsi="Arial" w:cs="Arial"/>
          <w:sz w:val="22"/>
          <w:szCs w:val="22"/>
          <w:lang w:val="en-US"/>
        </w:rPr>
        <w:t>Spring 2018, in Bulgaria</w:t>
      </w:r>
    </w:p>
    <w:p w:rsidR="005745C8" w:rsidRPr="006101BD" w:rsidRDefault="005745C8" w:rsidP="005745C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6101BD">
        <w:rPr>
          <w:rFonts w:ascii="Arial" w:hAnsi="Arial" w:cs="Arial"/>
          <w:sz w:val="22"/>
          <w:szCs w:val="22"/>
          <w:lang w:val="en-US"/>
        </w:rPr>
        <w:t>Autumn 2018</w:t>
      </w:r>
    </w:p>
    <w:p w:rsidR="005745C8" w:rsidRPr="006101BD" w:rsidRDefault="005745C8" w:rsidP="005745C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6101BD">
        <w:rPr>
          <w:rFonts w:ascii="Arial" w:hAnsi="Arial" w:cs="Arial"/>
          <w:sz w:val="22"/>
          <w:szCs w:val="22"/>
          <w:lang w:val="en-US"/>
        </w:rPr>
        <w:t>Spring 2019 in Italy</w:t>
      </w:r>
    </w:p>
    <w:p w:rsidR="00B027C9" w:rsidRPr="00A57EFA" w:rsidRDefault="00B027C9" w:rsidP="00D4775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A13F23" w:rsidRPr="00143D8E" w:rsidRDefault="00A13F23" w:rsidP="00A13F23">
      <w:pPr>
        <w:pStyle w:val="Nadpis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EA Resolution 2016</w:t>
      </w:r>
      <w:r w:rsidRPr="00143D8E">
        <w:rPr>
          <w:rFonts w:cs="Arial"/>
          <w:sz w:val="22"/>
          <w:szCs w:val="22"/>
        </w:rPr>
        <w:t xml:space="preserve"> (38) </w:t>
      </w:r>
      <w:r w:rsidR="00242266">
        <w:rPr>
          <w:rFonts w:cs="Arial"/>
          <w:sz w:val="22"/>
          <w:szCs w:val="22"/>
        </w:rPr>
        <w:t>26</w:t>
      </w:r>
    </w:p>
    <w:p w:rsidR="002C227E" w:rsidRPr="00A57EFA" w:rsidRDefault="002C227E" w:rsidP="002C227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57EFA">
        <w:rPr>
          <w:rFonts w:ascii="Arial" w:hAnsi="Arial" w:cs="Arial"/>
          <w:sz w:val="22"/>
          <w:szCs w:val="22"/>
          <w:lang w:val="en-GB"/>
        </w:rPr>
        <w:t xml:space="preserve">The General Assembly expresses its appreciation for the </w:t>
      </w:r>
      <w:r w:rsidR="00F70A25" w:rsidRPr="00A57EFA">
        <w:rPr>
          <w:rFonts w:ascii="Arial" w:hAnsi="Arial" w:cs="Arial"/>
          <w:sz w:val="22"/>
          <w:szCs w:val="22"/>
          <w:lang w:val="en-GB"/>
        </w:rPr>
        <w:t xml:space="preserve">superb </w:t>
      </w:r>
      <w:r w:rsidRPr="00A57EFA">
        <w:rPr>
          <w:rFonts w:ascii="Arial" w:hAnsi="Arial" w:cs="Arial"/>
          <w:sz w:val="22"/>
          <w:szCs w:val="22"/>
          <w:lang w:val="en-GB"/>
        </w:rPr>
        <w:t xml:space="preserve">arrangements and support services provided by </w:t>
      </w:r>
      <w:r w:rsidR="00484336">
        <w:rPr>
          <w:rFonts w:ascii="Arial" w:hAnsi="Arial" w:cs="Arial"/>
          <w:sz w:val="22"/>
          <w:szCs w:val="22"/>
          <w:lang w:val="en-GB"/>
        </w:rPr>
        <w:t>SWEDAC</w:t>
      </w:r>
      <w:r w:rsidRPr="00A57EFA">
        <w:rPr>
          <w:rFonts w:ascii="Arial" w:hAnsi="Arial" w:cs="Arial"/>
          <w:sz w:val="22"/>
          <w:szCs w:val="22"/>
          <w:lang w:val="en-GB"/>
        </w:rPr>
        <w:t xml:space="preserve"> for the </w:t>
      </w:r>
      <w:r w:rsidR="00484336">
        <w:rPr>
          <w:rFonts w:ascii="Arial" w:hAnsi="Arial" w:cs="Arial"/>
          <w:sz w:val="22"/>
          <w:szCs w:val="22"/>
          <w:lang w:val="en-GB"/>
        </w:rPr>
        <w:t>38</w:t>
      </w:r>
      <w:r w:rsidRPr="00A57EFA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Pr="00A57EFA">
        <w:rPr>
          <w:rFonts w:ascii="Arial" w:hAnsi="Arial" w:cs="Arial"/>
          <w:sz w:val="22"/>
          <w:szCs w:val="22"/>
          <w:lang w:val="en-GB"/>
        </w:rPr>
        <w:t xml:space="preserve"> General Assembly on </w:t>
      </w:r>
      <w:r w:rsidR="00484336">
        <w:rPr>
          <w:rFonts w:ascii="Arial" w:hAnsi="Arial" w:cs="Arial"/>
          <w:sz w:val="22"/>
          <w:szCs w:val="22"/>
          <w:lang w:val="en-GB"/>
        </w:rPr>
        <w:t>23-24</w:t>
      </w:r>
      <w:r w:rsidR="008C51F5" w:rsidRPr="00A57EFA">
        <w:rPr>
          <w:rFonts w:ascii="Arial" w:hAnsi="Arial" w:cs="Arial"/>
          <w:sz w:val="22"/>
          <w:szCs w:val="22"/>
          <w:lang w:val="en-GB"/>
        </w:rPr>
        <w:t xml:space="preserve"> November</w:t>
      </w:r>
      <w:r w:rsidR="00484336">
        <w:rPr>
          <w:rFonts w:ascii="Arial" w:hAnsi="Arial" w:cs="Arial"/>
          <w:sz w:val="22"/>
          <w:szCs w:val="22"/>
          <w:lang w:val="en-GB"/>
        </w:rPr>
        <w:t xml:space="preserve"> 2016</w:t>
      </w:r>
      <w:r w:rsidRPr="00A57EFA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B027C9" w:rsidRPr="00A57EFA" w:rsidRDefault="00B027C9" w:rsidP="00D4775D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7F237E" w:rsidRDefault="007F237E" w:rsidP="00A664D6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68095F" w:rsidRPr="00A57EFA" w:rsidRDefault="0068095F" w:rsidP="00A664D6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A664D6" w:rsidRPr="00A57EFA" w:rsidRDefault="00A664D6" w:rsidP="008C51F5">
      <w:pPr>
        <w:jc w:val="right"/>
        <w:rPr>
          <w:rFonts w:ascii="Arial" w:hAnsi="Arial" w:cs="Arial"/>
          <w:sz w:val="22"/>
          <w:szCs w:val="22"/>
          <w:lang w:val="en-GB"/>
        </w:rPr>
      </w:pPr>
      <w:r w:rsidRPr="00A57EFA">
        <w:rPr>
          <w:rFonts w:ascii="Arial" w:hAnsi="Arial" w:cs="Arial"/>
          <w:sz w:val="22"/>
          <w:szCs w:val="22"/>
          <w:lang w:val="en-GB"/>
        </w:rPr>
        <w:t xml:space="preserve">End of resolutions </w:t>
      </w:r>
      <w:r w:rsidR="00D54243">
        <w:rPr>
          <w:rFonts w:ascii="Arial" w:hAnsi="Arial" w:cs="Arial"/>
          <w:sz w:val="22"/>
          <w:szCs w:val="22"/>
          <w:lang w:val="en-GB"/>
        </w:rPr>
        <w:t>proposed</w:t>
      </w:r>
      <w:r w:rsidR="00C8659C" w:rsidRPr="00A57EFA">
        <w:rPr>
          <w:rFonts w:ascii="Arial" w:hAnsi="Arial" w:cs="Arial"/>
          <w:sz w:val="22"/>
          <w:szCs w:val="22"/>
          <w:lang w:val="en-GB"/>
        </w:rPr>
        <w:t xml:space="preserve"> </w:t>
      </w:r>
      <w:r w:rsidRPr="00A57EFA">
        <w:rPr>
          <w:rFonts w:ascii="Arial" w:hAnsi="Arial" w:cs="Arial"/>
          <w:sz w:val="22"/>
          <w:szCs w:val="22"/>
          <w:lang w:val="en-GB"/>
        </w:rPr>
        <w:t>at the 3</w:t>
      </w:r>
      <w:r w:rsidR="00D54243">
        <w:rPr>
          <w:rFonts w:ascii="Arial" w:hAnsi="Arial" w:cs="Arial"/>
          <w:sz w:val="22"/>
          <w:szCs w:val="22"/>
          <w:lang w:val="en-GB"/>
        </w:rPr>
        <w:t>8</w:t>
      </w:r>
      <w:r w:rsidR="00B027C9" w:rsidRPr="00A57EFA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B027C9" w:rsidRPr="00A57EFA">
        <w:rPr>
          <w:rFonts w:ascii="Arial" w:hAnsi="Arial" w:cs="Arial"/>
          <w:sz w:val="22"/>
          <w:szCs w:val="22"/>
          <w:lang w:val="en-GB"/>
        </w:rPr>
        <w:t xml:space="preserve"> </w:t>
      </w:r>
      <w:r w:rsidRPr="00A57EFA">
        <w:rPr>
          <w:rFonts w:ascii="Arial" w:hAnsi="Arial" w:cs="Arial"/>
          <w:sz w:val="22"/>
          <w:szCs w:val="22"/>
          <w:lang w:val="en-GB"/>
        </w:rPr>
        <w:t>EA General Assembly.</w:t>
      </w:r>
    </w:p>
    <w:p w:rsidR="00A664D6" w:rsidRDefault="00A664D6" w:rsidP="00210771">
      <w:pPr>
        <w:jc w:val="both"/>
        <w:rPr>
          <w:rFonts w:ascii="Arial" w:hAnsi="Arial" w:cs="Arial"/>
          <w:sz w:val="22"/>
          <w:szCs w:val="22"/>
          <w:lang w:val="en-GB"/>
        </w:rPr>
      </w:pPr>
    </w:p>
    <w:sectPr w:rsidR="00A664D6" w:rsidSect="00AC6789">
      <w:footerReference w:type="default" r:id="rId9"/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A80" w:rsidRDefault="001B6A80">
      <w:r>
        <w:separator/>
      </w:r>
    </w:p>
  </w:endnote>
  <w:endnote w:type="continuationSeparator" w:id="0">
    <w:p w:rsidR="001B6A80" w:rsidRDefault="001B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73" w:rsidRPr="0067667B" w:rsidRDefault="00007182" w:rsidP="0067667B">
    <w:pPr>
      <w:pStyle w:val="Zpat"/>
      <w:tabs>
        <w:tab w:val="clear" w:pos="4536"/>
        <w:tab w:val="center" w:pos="8931"/>
      </w:tabs>
      <w:jc w:val="both"/>
      <w:rPr>
        <w:rFonts w:ascii="Arial" w:hAnsi="Arial" w:cs="Arial"/>
        <w:sz w:val="20"/>
        <w:lang w:val="en-GB"/>
      </w:rPr>
    </w:pPr>
    <w:r>
      <w:rPr>
        <w:rFonts w:ascii="Arial" w:hAnsi="Arial" w:cs="Arial"/>
        <w:bCs/>
        <w:sz w:val="20"/>
        <w:szCs w:val="20"/>
      </w:rPr>
      <w:t>22</w:t>
    </w:r>
    <w:r w:rsidR="0067667B" w:rsidRPr="0067667B">
      <w:rPr>
        <w:rFonts w:ascii="Arial" w:hAnsi="Arial" w:cs="Arial"/>
        <w:bCs/>
        <w:sz w:val="20"/>
        <w:szCs w:val="20"/>
      </w:rPr>
      <w:t xml:space="preserve"> November 2016</w:t>
    </w:r>
    <w:r w:rsidR="0067667B" w:rsidRPr="0067667B">
      <w:rPr>
        <w:rFonts w:ascii="Arial" w:hAnsi="Arial" w:cs="Arial"/>
        <w:bCs/>
        <w:sz w:val="20"/>
        <w:szCs w:val="20"/>
      </w:rPr>
      <w:tab/>
    </w:r>
    <w:r w:rsidR="006E2173" w:rsidRPr="0067667B">
      <w:rPr>
        <w:rFonts w:ascii="Arial" w:hAnsi="Arial" w:cs="Arial"/>
        <w:bCs/>
        <w:sz w:val="20"/>
        <w:szCs w:val="20"/>
      </w:rPr>
      <w:fldChar w:fldCharType="begin"/>
    </w:r>
    <w:r w:rsidR="006E2173" w:rsidRPr="0067667B">
      <w:rPr>
        <w:rFonts w:ascii="Arial" w:hAnsi="Arial" w:cs="Arial"/>
        <w:bCs/>
        <w:sz w:val="20"/>
        <w:szCs w:val="20"/>
      </w:rPr>
      <w:instrText>PAGE</w:instrText>
    </w:r>
    <w:r w:rsidR="006E2173" w:rsidRPr="0067667B">
      <w:rPr>
        <w:rFonts w:ascii="Arial" w:hAnsi="Arial" w:cs="Arial"/>
        <w:bCs/>
        <w:sz w:val="20"/>
        <w:szCs w:val="20"/>
      </w:rPr>
      <w:fldChar w:fldCharType="separate"/>
    </w:r>
    <w:r w:rsidR="00312650">
      <w:rPr>
        <w:rFonts w:ascii="Arial" w:hAnsi="Arial" w:cs="Arial"/>
        <w:bCs/>
        <w:noProof/>
        <w:sz w:val="20"/>
        <w:szCs w:val="20"/>
      </w:rPr>
      <w:t>1</w:t>
    </w:r>
    <w:r w:rsidR="006E2173" w:rsidRPr="0067667B">
      <w:rPr>
        <w:rFonts w:ascii="Arial" w:hAnsi="Arial" w:cs="Arial"/>
        <w:bCs/>
        <w:sz w:val="20"/>
        <w:szCs w:val="20"/>
      </w:rPr>
      <w:fldChar w:fldCharType="end"/>
    </w:r>
    <w:r w:rsidR="006E2173" w:rsidRPr="0067667B">
      <w:rPr>
        <w:rFonts w:ascii="Arial" w:hAnsi="Arial" w:cs="Arial"/>
        <w:sz w:val="20"/>
        <w:szCs w:val="20"/>
      </w:rPr>
      <w:t xml:space="preserve"> / </w:t>
    </w:r>
    <w:r w:rsidR="006E2173" w:rsidRPr="0067667B">
      <w:rPr>
        <w:rFonts w:ascii="Arial" w:hAnsi="Arial" w:cs="Arial"/>
        <w:bCs/>
        <w:sz w:val="20"/>
        <w:szCs w:val="20"/>
      </w:rPr>
      <w:fldChar w:fldCharType="begin"/>
    </w:r>
    <w:r w:rsidR="006E2173" w:rsidRPr="0067667B">
      <w:rPr>
        <w:rFonts w:ascii="Arial" w:hAnsi="Arial" w:cs="Arial"/>
        <w:bCs/>
        <w:sz w:val="20"/>
        <w:szCs w:val="20"/>
      </w:rPr>
      <w:instrText>NUMPAGES</w:instrText>
    </w:r>
    <w:r w:rsidR="006E2173" w:rsidRPr="0067667B">
      <w:rPr>
        <w:rFonts w:ascii="Arial" w:hAnsi="Arial" w:cs="Arial"/>
        <w:bCs/>
        <w:sz w:val="20"/>
        <w:szCs w:val="20"/>
      </w:rPr>
      <w:fldChar w:fldCharType="separate"/>
    </w:r>
    <w:r w:rsidR="00312650">
      <w:rPr>
        <w:rFonts w:ascii="Arial" w:hAnsi="Arial" w:cs="Arial"/>
        <w:bCs/>
        <w:noProof/>
        <w:sz w:val="20"/>
        <w:szCs w:val="20"/>
      </w:rPr>
      <w:t>5</w:t>
    </w:r>
    <w:r w:rsidR="006E2173" w:rsidRPr="0067667B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A80" w:rsidRDefault="001B6A80">
      <w:r>
        <w:separator/>
      </w:r>
    </w:p>
  </w:footnote>
  <w:footnote w:type="continuationSeparator" w:id="0">
    <w:p w:rsidR="001B6A80" w:rsidRDefault="001B6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883"/>
    <w:multiLevelType w:val="hybridMultilevel"/>
    <w:tmpl w:val="519A01E2"/>
    <w:lvl w:ilvl="0" w:tplc="3944419C">
      <w:start w:val="1"/>
      <w:numFmt w:val="lowerRoman"/>
      <w:lvlText w:val="(%1)"/>
      <w:lvlJc w:val="left"/>
      <w:pPr>
        <w:ind w:left="1080" w:hanging="72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32D64"/>
    <w:multiLevelType w:val="hybridMultilevel"/>
    <w:tmpl w:val="A67AFEAE"/>
    <w:lvl w:ilvl="0" w:tplc="84820D5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CF2DDA"/>
    <w:multiLevelType w:val="hybridMultilevel"/>
    <w:tmpl w:val="5F4A2FDC"/>
    <w:lvl w:ilvl="0" w:tplc="B0D4485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331B"/>
    <w:multiLevelType w:val="hybridMultilevel"/>
    <w:tmpl w:val="A05A201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B61A5E"/>
    <w:multiLevelType w:val="hybridMultilevel"/>
    <w:tmpl w:val="7006F55E"/>
    <w:lvl w:ilvl="0" w:tplc="890285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4C52"/>
    <w:multiLevelType w:val="hybridMultilevel"/>
    <w:tmpl w:val="8EA61514"/>
    <w:lvl w:ilvl="0" w:tplc="84820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D3419"/>
    <w:multiLevelType w:val="hybridMultilevel"/>
    <w:tmpl w:val="8B38585A"/>
    <w:lvl w:ilvl="0" w:tplc="04929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EE2337"/>
    <w:multiLevelType w:val="hybridMultilevel"/>
    <w:tmpl w:val="03983C20"/>
    <w:lvl w:ilvl="0" w:tplc="B0D4485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72CEC"/>
    <w:multiLevelType w:val="hybridMultilevel"/>
    <w:tmpl w:val="B5E004CC"/>
    <w:lvl w:ilvl="0" w:tplc="B53E9A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765E3"/>
    <w:multiLevelType w:val="hybridMultilevel"/>
    <w:tmpl w:val="03983C20"/>
    <w:lvl w:ilvl="0" w:tplc="B0D4485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B7A9E"/>
    <w:multiLevelType w:val="hybridMultilevel"/>
    <w:tmpl w:val="9EA6B3E2"/>
    <w:lvl w:ilvl="0" w:tplc="040C0017">
      <w:start w:val="1"/>
      <w:numFmt w:val="lowerLetter"/>
      <w:lvlText w:val="%1)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3EC03B1"/>
    <w:multiLevelType w:val="hybridMultilevel"/>
    <w:tmpl w:val="B9FA3D1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6F44EF0"/>
    <w:multiLevelType w:val="hybridMultilevel"/>
    <w:tmpl w:val="1B3893DE"/>
    <w:lvl w:ilvl="0" w:tplc="151E9F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895B2B"/>
    <w:multiLevelType w:val="hybridMultilevel"/>
    <w:tmpl w:val="7E4214C8"/>
    <w:lvl w:ilvl="0" w:tplc="84820D5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84820D58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  <w:i w:val="0"/>
      </w:rPr>
    </w:lvl>
    <w:lvl w:ilvl="2" w:tplc="B8AC3C34">
      <w:numFmt w:val="bullet"/>
      <w:lvlText w:val="•"/>
      <w:lvlJc w:val="left"/>
      <w:pPr>
        <w:ind w:left="2145" w:hanging="705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6D72EB"/>
    <w:multiLevelType w:val="hybridMultilevel"/>
    <w:tmpl w:val="A1248D8A"/>
    <w:lvl w:ilvl="0" w:tplc="316EA22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095B7D"/>
    <w:multiLevelType w:val="hybridMultilevel"/>
    <w:tmpl w:val="E9BC5AF0"/>
    <w:lvl w:ilvl="0" w:tplc="5BA65630">
      <w:start w:val="2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9E7A7C"/>
    <w:multiLevelType w:val="hybridMultilevel"/>
    <w:tmpl w:val="57D63AD0"/>
    <w:lvl w:ilvl="0" w:tplc="BA1EAF88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44277"/>
    <w:multiLevelType w:val="hybridMultilevel"/>
    <w:tmpl w:val="70FCE922"/>
    <w:lvl w:ilvl="0" w:tplc="52308B3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12564"/>
    <w:multiLevelType w:val="hybridMultilevel"/>
    <w:tmpl w:val="72D0F53C"/>
    <w:lvl w:ilvl="0" w:tplc="B81CA1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680F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46CA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0F0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227A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2CA2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6C31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625B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9209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8"/>
  </w:num>
  <w:num w:numId="5">
    <w:abstractNumId w:val="5"/>
  </w:num>
  <w:num w:numId="6">
    <w:abstractNumId w:val="14"/>
  </w:num>
  <w:num w:numId="7">
    <w:abstractNumId w:val="7"/>
  </w:num>
  <w:num w:numId="8">
    <w:abstractNumId w:val="2"/>
  </w:num>
  <w:num w:numId="9">
    <w:abstractNumId w:val="10"/>
  </w:num>
  <w:num w:numId="10">
    <w:abstractNumId w:val="15"/>
  </w:num>
  <w:num w:numId="11">
    <w:abstractNumId w:val="9"/>
  </w:num>
  <w:num w:numId="12">
    <w:abstractNumId w:val="4"/>
  </w:num>
  <w:num w:numId="13">
    <w:abstractNumId w:val="12"/>
  </w:num>
  <w:num w:numId="14">
    <w:abstractNumId w:val="1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5D"/>
    <w:rsid w:val="00005AAE"/>
    <w:rsid w:val="00007182"/>
    <w:rsid w:val="00012ACA"/>
    <w:rsid w:val="00015755"/>
    <w:rsid w:val="000170E5"/>
    <w:rsid w:val="0002534D"/>
    <w:rsid w:val="00025E13"/>
    <w:rsid w:val="00025E9B"/>
    <w:rsid w:val="000337AD"/>
    <w:rsid w:val="000402A1"/>
    <w:rsid w:val="00042A5C"/>
    <w:rsid w:val="00042D9A"/>
    <w:rsid w:val="0004400D"/>
    <w:rsid w:val="000508A1"/>
    <w:rsid w:val="000516F8"/>
    <w:rsid w:val="00053A08"/>
    <w:rsid w:val="00056192"/>
    <w:rsid w:val="00056DF1"/>
    <w:rsid w:val="0005758F"/>
    <w:rsid w:val="00070B7B"/>
    <w:rsid w:val="00073D3D"/>
    <w:rsid w:val="00086A7D"/>
    <w:rsid w:val="00090E4A"/>
    <w:rsid w:val="000916E1"/>
    <w:rsid w:val="00091BE0"/>
    <w:rsid w:val="000939ED"/>
    <w:rsid w:val="00095874"/>
    <w:rsid w:val="00096B9E"/>
    <w:rsid w:val="000A1025"/>
    <w:rsid w:val="000B3E98"/>
    <w:rsid w:val="000B6472"/>
    <w:rsid w:val="000B71F3"/>
    <w:rsid w:val="000C46DA"/>
    <w:rsid w:val="000D4DB4"/>
    <w:rsid w:val="000E0595"/>
    <w:rsid w:val="000E3171"/>
    <w:rsid w:val="000E5108"/>
    <w:rsid w:val="000F132A"/>
    <w:rsid w:val="000F70CD"/>
    <w:rsid w:val="00105A7E"/>
    <w:rsid w:val="001067F3"/>
    <w:rsid w:val="00107047"/>
    <w:rsid w:val="00107C5F"/>
    <w:rsid w:val="001218BD"/>
    <w:rsid w:val="00121B94"/>
    <w:rsid w:val="00130BCE"/>
    <w:rsid w:val="00133E8F"/>
    <w:rsid w:val="00135790"/>
    <w:rsid w:val="001407C0"/>
    <w:rsid w:val="00143CD7"/>
    <w:rsid w:val="00143D8E"/>
    <w:rsid w:val="00145017"/>
    <w:rsid w:val="001519EA"/>
    <w:rsid w:val="00153A75"/>
    <w:rsid w:val="001608A5"/>
    <w:rsid w:val="00162E5F"/>
    <w:rsid w:val="001659A9"/>
    <w:rsid w:val="00166DB9"/>
    <w:rsid w:val="00167BC9"/>
    <w:rsid w:val="001709FC"/>
    <w:rsid w:val="00172D5C"/>
    <w:rsid w:val="001730DA"/>
    <w:rsid w:val="00173249"/>
    <w:rsid w:val="00180261"/>
    <w:rsid w:val="00181DC5"/>
    <w:rsid w:val="00192061"/>
    <w:rsid w:val="0019317E"/>
    <w:rsid w:val="001953FE"/>
    <w:rsid w:val="001A0C46"/>
    <w:rsid w:val="001B25E0"/>
    <w:rsid w:val="001B495B"/>
    <w:rsid w:val="001B6A80"/>
    <w:rsid w:val="001B7399"/>
    <w:rsid w:val="001C0476"/>
    <w:rsid w:val="001C5D4E"/>
    <w:rsid w:val="001D1184"/>
    <w:rsid w:val="001D5A2D"/>
    <w:rsid w:val="001E13E1"/>
    <w:rsid w:val="001E1BA9"/>
    <w:rsid w:val="001E297E"/>
    <w:rsid w:val="001E5603"/>
    <w:rsid w:val="001E7A2B"/>
    <w:rsid w:val="001F1386"/>
    <w:rsid w:val="001F14DA"/>
    <w:rsid w:val="001F49E4"/>
    <w:rsid w:val="001F64F1"/>
    <w:rsid w:val="00205ADD"/>
    <w:rsid w:val="00210771"/>
    <w:rsid w:val="0021393E"/>
    <w:rsid w:val="00216319"/>
    <w:rsid w:val="00220F7B"/>
    <w:rsid w:val="00222B3E"/>
    <w:rsid w:val="00231855"/>
    <w:rsid w:val="00234DDE"/>
    <w:rsid w:val="00240F92"/>
    <w:rsid w:val="00242266"/>
    <w:rsid w:val="00243B1D"/>
    <w:rsid w:val="00252A82"/>
    <w:rsid w:val="002603D9"/>
    <w:rsid w:val="00264F7C"/>
    <w:rsid w:val="0026577D"/>
    <w:rsid w:val="002666EC"/>
    <w:rsid w:val="002731B9"/>
    <w:rsid w:val="00275938"/>
    <w:rsid w:val="00276250"/>
    <w:rsid w:val="00281E44"/>
    <w:rsid w:val="00282E0F"/>
    <w:rsid w:val="00283D37"/>
    <w:rsid w:val="00284470"/>
    <w:rsid w:val="0028530E"/>
    <w:rsid w:val="00292427"/>
    <w:rsid w:val="0029258A"/>
    <w:rsid w:val="002933E1"/>
    <w:rsid w:val="002A1255"/>
    <w:rsid w:val="002A4C5A"/>
    <w:rsid w:val="002A7288"/>
    <w:rsid w:val="002B01D8"/>
    <w:rsid w:val="002B30EF"/>
    <w:rsid w:val="002B5AF6"/>
    <w:rsid w:val="002B636C"/>
    <w:rsid w:val="002C0BDB"/>
    <w:rsid w:val="002C227E"/>
    <w:rsid w:val="002C2889"/>
    <w:rsid w:val="002C4DCD"/>
    <w:rsid w:val="002D78BB"/>
    <w:rsid w:val="002E4764"/>
    <w:rsid w:val="002E5AA3"/>
    <w:rsid w:val="002F1326"/>
    <w:rsid w:val="002F2032"/>
    <w:rsid w:val="002F2DFB"/>
    <w:rsid w:val="002F7058"/>
    <w:rsid w:val="00300587"/>
    <w:rsid w:val="00303982"/>
    <w:rsid w:val="0030474E"/>
    <w:rsid w:val="00304D44"/>
    <w:rsid w:val="00306703"/>
    <w:rsid w:val="00312650"/>
    <w:rsid w:val="00313924"/>
    <w:rsid w:val="00315AC7"/>
    <w:rsid w:val="00316B20"/>
    <w:rsid w:val="00321C75"/>
    <w:rsid w:val="00322C08"/>
    <w:rsid w:val="00327E54"/>
    <w:rsid w:val="0033363A"/>
    <w:rsid w:val="00344689"/>
    <w:rsid w:val="00346165"/>
    <w:rsid w:val="003470E7"/>
    <w:rsid w:val="00347A7A"/>
    <w:rsid w:val="0035340A"/>
    <w:rsid w:val="0035377E"/>
    <w:rsid w:val="00354416"/>
    <w:rsid w:val="003565B9"/>
    <w:rsid w:val="00357CBA"/>
    <w:rsid w:val="0036312A"/>
    <w:rsid w:val="00363CE1"/>
    <w:rsid w:val="00365079"/>
    <w:rsid w:val="003650D0"/>
    <w:rsid w:val="0037092D"/>
    <w:rsid w:val="00372AA2"/>
    <w:rsid w:val="003732ED"/>
    <w:rsid w:val="00373B09"/>
    <w:rsid w:val="0037421B"/>
    <w:rsid w:val="0038215F"/>
    <w:rsid w:val="003879BC"/>
    <w:rsid w:val="003909D3"/>
    <w:rsid w:val="00390F63"/>
    <w:rsid w:val="00392F3F"/>
    <w:rsid w:val="003947D6"/>
    <w:rsid w:val="003966EE"/>
    <w:rsid w:val="003A12EC"/>
    <w:rsid w:val="003A37C7"/>
    <w:rsid w:val="003A3974"/>
    <w:rsid w:val="003A561E"/>
    <w:rsid w:val="003A5F6C"/>
    <w:rsid w:val="003A6FBB"/>
    <w:rsid w:val="003B4EA4"/>
    <w:rsid w:val="003B65CA"/>
    <w:rsid w:val="003C4CC6"/>
    <w:rsid w:val="003C4F19"/>
    <w:rsid w:val="003C6019"/>
    <w:rsid w:val="003D64E1"/>
    <w:rsid w:val="003D7681"/>
    <w:rsid w:val="003E51FB"/>
    <w:rsid w:val="003E74BD"/>
    <w:rsid w:val="003F419C"/>
    <w:rsid w:val="003F665B"/>
    <w:rsid w:val="0040055C"/>
    <w:rsid w:val="0040166E"/>
    <w:rsid w:val="00401AE4"/>
    <w:rsid w:val="00403C7A"/>
    <w:rsid w:val="00410304"/>
    <w:rsid w:val="004209AA"/>
    <w:rsid w:val="00422F64"/>
    <w:rsid w:val="0044082A"/>
    <w:rsid w:val="00441DB6"/>
    <w:rsid w:val="00446E87"/>
    <w:rsid w:val="00452DC5"/>
    <w:rsid w:val="00455F2D"/>
    <w:rsid w:val="00460284"/>
    <w:rsid w:val="00465B98"/>
    <w:rsid w:val="0047469E"/>
    <w:rsid w:val="00477075"/>
    <w:rsid w:val="00477539"/>
    <w:rsid w:val="00480E03"/>
    <w:rsid w:val="00481683"/>
    <w:rsid w:val="00481761"/>
    <w:rsid w:val="004826C9"/>
    <w:rsid w:val="00482E0A"/>
    <w:rsid w:val="00484336"/>
    <w:rsid w:val="00485AE0"/>
    <w:rsid w:val="00487A83"/>
    <w:rsid w:val="00490420"/>
    <w:rsid w:val="00491AC1"/>
    <w:rsid w:val="00494AEE"/>
    <w:rsid w:val="004952A8"/>
    <w:rsid w:val="004A00E2"/>
    <w:rsid w:val="004A0819"/>
    <w:rsid w:val="004A0AE2"/>
    <w:rsid w:val="004A0BF0"/>
    <w:rsid w:val="004A0C84"/>
    <w:rsid w:val="004A12AA"/>
    <w:rsid w:val="004A1FBA"/>
    <w:rsid w:val="004A4F52"/>
    <w:rsid w:val="004C0B55"/>
    <w:rsid w:val="004C1A5B"/>
    <w:rsid w:val="004C223F"/>
    <w:rsid w:val="004C44A6"/>
    <w:rsid w:val="004C4B87"/>
    <w:rsid w:val="004C7398"/>
    <w:rsid w:val="004D15DA"/>
    <w:rsid w:val="004D4E7D"/>
    <w:rsid w:val="004D5099"/>
    <w:rsid w:val="004E1A41"/>
    <w:rsid w:val="004E3342"/>
    <w:rsid w:val="004E4B36"/>
    <w:rsid w:val="004F5115"/>
    <w:rsid w:val="004F666A"/>
    <w:rsid w:val="0050577C"/>
    <w:rsid w:val="005075F1"/>
    <w:rsid w:val="00510FA9"/>
    <w:rsid w:val="005129A4"/>
    <w:rsid w:val="00512BA1"/>
    <w:rsid w:val="0051365D"/>
    <w:rsid w:val="00513CD8"/>
    <w:rsid w:val="00517DC9"/>
    <w:rsid w:val="00522190"/>
    <w:rsid w:val="00522A8C"/>
    <w:rsid w:val="005345F2"/>
    <w:rsid w:val="005348A7"/>
    <w:rsid w:val="005420BD"/>
    <w:rsid w:val="00542CD5"/>
    <w:rsid w:val="005441FC"/>
    <w:rsid w:val="00546886"/>
    <w:rsid w:val="0055026D"/>
    <w:rsid w:val="00552A5A"/>
    <w:rsid w:val="00553E4F"/>
    <w:rsid w:val="00553FE4"/>
    <w:rsid w:val="00555CDE"/>
    <w:rsid w:val="00556DAC"/>
    <w:rsid w:val="00561310"/>
    <w:rsid w:val="00561D7B"/>
    <w:rsid w:val="00562F9C"/>
    <w:rsid w:val="005700C6"/>
    <w:rsid w:val="005710F8"/>
    <w:rsid w:val="005745C8"/>
    <w:rsid w:val="005770C3"/>
    <w:rsid w:val="005842AD"/>
    <w:rsid w:val="0058495A"/>
    <w:rsid w:val="005851CF"/>
    <w:rsid w:val="00586925"/>
    <w:rsid w:val="005A0C14"/>
    <w:rsid w:val="005A1CFD"/>
    <w:rsid w:val="005A2AFF"/>
    <w:rsid w:val="005A6F95"/>
    <w:rsid w:val="005B1182"/>
    <w:rsid w:val="005B3A33"/>
    <w:rsid w:val="005B7454"/>
    <w:rsid w:val="005C1FA5"/>
    <w:rsid w:val="005C6ADC"/>
    <w:rsid w:val="005D0F7F"/>
    <w:rsid w:val="005D2D1E"/>
    <w:rsid w:val="005E004F"/>
    <w:rsid w:val="005E0A2B"/>
    <w:rsid w:val="005E413B"/>
    <w:rsid w:val="005E4630"/>
    <w:rsid w:val="005E4A85"/>
    <w:rsid w:val="00603C8E"/>
    <w:rsid w:val="00607CB4"/>
    <w:rsid w:val="006101BD"/>
    <w:rsid w:val="00614892"/>
    <w:rsid w:val="006207D3"/>
    <w:rsid w:val="006210C9"/>
    <w:rsid w:val="006223EB"/>
    <w:rsid w:val="006229B3"/>
    <w:rsid w:val="00624423"/>
    <w:rsid w:val="0062580C"/>
    <w:rsid w:val="00630477"/>
    <w:rsid w:val="00633A0C"/>
    <w:rsid w:val="00634F9B"/>
    <w:rsid w:val="00640A69"/>
    <w:rsid w:val="00645954"/>
    <w:rsid w:val="0064770E"/>
    <w:rsid w:val="00655E35"/>
    <w:rsid w:val="0065743B"/>
    <w:rsid w:val="00663914"/>
    <w:rsid w:val="0066437E"/>
    <w:rsid w:val="00664DF4"/>
    <w:rsid w:val="00672808"/>
    <w:rsid w:val="00672AE2"/>
    <w:rsid w:val="0067667B"/>
    <w:rsid w:val="0068095F"/>
    <w:rsid w:val="00682FC8"/>
    <w:rsid w:val="006875B7"/>
    <w:rsid w:val="0069192B"/>
    <w:rsid w:val="006934D1"/>
    <w:rsid w:val="00693598"/>
    <w:rsid w:val="00695C73"/>
    <w:rsid w:val="00697039"/>
    <w:rsid w:val="006B1040"/>
    <w:rsid w:val="006B2363"/>
    <w:rsid w:val="006B6198"/>
    <w:rsid w:val="006B6D18"/>
    <w:rsid w:val="006B7E77"/>
    <w:rsid w:val="006C294F"/>
    <w:rsid w:val="006E2173"/>
    <w:rsid w:val="006E4309"/>
    <w:rsid w:val="006F0979"/>
    <w:rsid w:val="006F2ACA"/>
    <w:rsid w:val="006F584B"/>
    <w:rsid w:val="00703E2C"/>
    <w:rsid w:val="0070637E"/>
    <w:rsid w:val="00711BD9"/>
    <w:rsid w:val="00714400"/>
    <w:rsid w:val="00714C45"/>
    <w:rsid w:val="00715792"/>
    <w:rsid w:val="007200CF"/>
    <w:rsid w:val="00720BBF"/>
    <w:rsid w:val="00720CB5"/>
    <w:rsid w:val="0072334A"/>
    <w:rsid w:val="0073000E"/>
    <w:rsid w:val="00732923"/>
    <w:rsid w:val="007466DE"/>
    <w:rsid w:val="007476BF"/>
    <w:rsid w:val="00752D02"/>
    <w:rsid w:val="00756013"/>
    <w:rsid w:val="00756B98"/>
    <w:rsid w:val="00756D4E"/>
    <w:rsid w:val="0076376D"/>
    <w:rsid w:val="007663EE"/>
    <w:rsid w:val="0076640F"/>
    <w:rsid w:val="00776E97"/>
    <w:rsid w:val="0078698B"/>
    <w:rsid w:val="00794C76"/>
    <w:rsid w:val="007964F1"/>
    <w:rsid w:val="007A0F53"/>
    <w:rsid w:val="007A1FFE"/>
    <w:rsid w:val="007A29AE"/>
    <w:rsid w:val="007A6C91"/>
    <w:rsid w:val="007B4A24"/>
    <w:rsid w:val="007C0018"/>
    <w:rsid w:val="007C0071"/>
    <w:rsid w:val="007D0CD0"/>
    <w:rsid w:val="007D1B68"/>
    <w:rsid w:val="007D2015"/>
    <w:rsid w:val="007D7078"/>
    <w:rsid w:val="007E4AC8"/>
    <w:rsid w:val="007E4ACE"/>
    <w:rsid w:val="007E537F"/>
    <w:rsid w:val="007F237E"/>
    <w:rsid w:val="007F36AE"/>
    <w:rsid w:val="007F3B50"/>
    <w:rsid w:val="00800330"/>
    <w:rsid w:val="008008B6"/>
    <w:rsid w:val="0080285F"/>
    <w:rsid w:val="008062E7"/>
    <w:rsid w:val="00810842"/>
    <w:rsid w:val="008120E9"/>
    <w:rsid w:val="00813FA8"/>
    <w:rsid w:val="00814568"/>
    <w:rsid w:val="0082296D"/>
    <w:rsid w:val="00835015"/>
    <w:rsid w:val="00837F6B"/>
    <w:rsid w:val="00853621"/>
    <w:rsid w:val="00854EA2"/>
    <w:rsid w:val="00855122"/>
    <w:rsid w:val="00861FB2"/>
    <w:rsid w:val="008634BE"/>
    <w:rsid w:val="00864473"/>
    <w:rsid w:val="00872BEF"/>
    <w:rsid w:val="00873B6F"/>
    <w:rsid w:val="008750EC"/>
    <w:rsid w:val="008802C6"/>
    <w:rsid w:val="00885137"/>
    <w:rsid w:val="008859B1"/>
    <w:rsid w:val="00891DE2"/>
    <w:rsid w:val="00892742"/>
    <w:rsid w:val="008A3A38"/>
    <w:rsid w:val="008B1E3F"/>
    <w:rsid w:val="008B3320"/>
    <w:rsid w:val="008C51F5"/>
    <w:rsid w:val="008C7714"/>
    <w:rsid w:val="008D2F79"/>
    <w:rsid w:val="008E0D14"/>
    <w:rsid w:val="008E4D7F"/>
    <w:rsid w:val="008E6FA0"/>
    <w:rsid w:val="008E740C"/>
    <w:rsid w:val="008F4BB4"/>
    <w:rsid w:val="008F6343"/>
    <w:rsid w:val="009030FA"/>
    <w:rsid w:val="00904FB5"/>
    <w:rsid w:val="00905686"/>
    <w:rsid w:val="00913EFE"/>
    <w:rsid w:val="0091736C"/>
    <w:rsid w:val="00920368"/>
    <w:rsid w:val="00920887"/>
    <w:rsid w:val="00925489"/>
    <w:rsid w:val="0092558C"/>
    <w:rsid w:val="009311A2"/>
    <w:rsid w:val="00934A82"/>
    <w:rsid w:val="009444CE"/>
    <w:rsid w:val="00950A6B"/>
    <w:rsid w:val="009517E8"/>
    <w:rsid w:val="00951C7E"/>
    <w:rsid w:val="00952DDE"/>
    <w:rsid w:val="0095356D"/>
    <w:rsid w:val="00960EA6"/>
    <w:rsid w:val="0096304C"/>
    <w:rsid w:val="00971F83"/>
    <w:rsid w:val="009734A8"/>
    <w:rsid w:val="00973E72"/>
    <w:rsid w:val="00975E3B"/>
    <w:rsid w:val="0097776D"/>
    <w:rsid w:val="00983BFC"/>
    <w:rsid w:val="00984390"/>
    <w:rsid w:val="0099058A"/>
    <w:rsid w:val="00990B1C"/>
    <w:rsid w:val="00991208"/>
    <w:rsid w:val="00992AD2"/>
    <w:rsid w:val="009955E2"/>
    <w:rsid w:val="009A2606"/>
    <w:rsid w:val="009B4793"/>
    <w:rsid w:val="009B6BE6"/>
    <w:rsid w:val="009B7202"/>
    <w:rsid w:val="009C11F9"/>
    <w:rsid w:val="009C55DC"/>
    <w:rsid w:val="009C6BBA"/>
    <w:rsid w:val="009D1EC5"/>
    <w:rsid w:val="009D58E4"/>
    <w:rsid w:val="009D7783"/>
    <w:rsid w:val="009E0B28"/>
    <w:rsid w:val="009E1F81"/>
    <w:rsid w:val="009E3688"/>
    <w:rsid w:val="009E4FFC"/>
    <w:rsid w:val="009E69C6"/>
    <w:rsid w:val="009E6FCF"/>
    <w:rsid w:val="009F00A7"/>
    <w:rsid w:val="009F1923"/>
    <w:rsid w:val="009F7EEE"/>
    <w:rsid w:val="00A03BFA"/>
    <w:rsid w:val="00A043A6"/>
    <w:rsid w:val="00A13F23"/>
    <w:rsid w:val="00A15C57"/>
    <w:rsid w:val="00A225C4"/>
    <w:rsid w:val="00A24D24"/>
    <w:rsid w:val="00A30EB1"/>
    <w:rsid w:val="00A313F7"/>
    <w:rsid w:val="00A3175B"/>
    <w:rsid w:val="00A319EC"/>
    <w:rsid w:val="00A32F5F"/>
    <w:rsid w:val="00A330EB"/>
    <w:rsid w:val="00A36D75"/>
    <w:rsid w:val="00A4003D"/>
    <w:rsid w:val="00A47C9B"/>
    <w:rsid w:val="00A50A8A"/>
    <w:rsid w:val="00A5545D"/>
    <w:rsid w:val="00A57EFA"/>
    <w:rsid w:val="00A62CBE"/>
    <w:rsid w:val="00A64C1D"/>
    <w:rsid w:val="00A664D6"/>
    <w:rsid w:val="00A7071E"/>
    <w:rsid w:val="00A72C64"/>
    <w:rsid w:val="00A7465C"/>
    <w:rsid w:val="00A75538"/>
    <w:rsid w:val="00A75D00"/>
    <w:rsid w:val="00A760B3"/>
    <w:rsid w:val="00A773CD"/>
    <w:rsid w:val="00A8253C"/>
    <w:rsid w:val="00A8347F"/>
    <w:rsid w:val="00A8728A"/>
    <w:rsid w:val="00A93601"/>
    <w:rsid w:val="00A938F1"/>
    <w:rsid w:val="00A94395"/>
    <w:rsid w:val="00A96C6B"/>
    <w:rsid w:val="00AA515F"/>
    <w:rsid w:val="00AB0517"/>
    <w:rsid w:val="00AC2E4D"/>
    <w:rsid w:val="00AC6789"/>
    <w:rsid w:val="00AC6B29"/>
    <w:rsid w:val="00AC72BB"/>
    <w:rsid w:val="00AD03F0"/>
    <w:rsid w:val="00AD0E01"/>
    <w:rsid w:val="00AD2871"/>
    <w:rsid w:val="00AD3D2E"/>
    <w:rsid w:val="00AD424E"/>
    <w:rsid w:val="00AE4C91"/>
    <w:rsid w:val="00AE5B0B"/>
    <w:rsid w:val="00AF1E03"/>
    <w:rsid w:val="00AF2B03"/>
    <w:rsid w:val="00AF3B75"/>
    <w:rsid w:val="00AF539A"/>
    <w:rsid w:val="00B027C9"/>
    <w:rsid w:val="00B07B16"/>
    <w:rsid w:val="00B23467"/>
    <w:rsid w:val="00B24B43"/>
    <w:rsid w:val="00B3291F"/>
    <w:rsid w:val="00B433FE"/>
    <w:rsid w:val="00B43ACD"/>
    <w:rsid w:val="00B50666"/>
    <w:rsid w:val="00B528FC"/>
    <w:rsid w:val="00B569AC"/>
    <w:rsid w:val="00B64BB1"/>
    <w:rsid w:val="00B64EE7"/>
    <w:rsid w:val="00B65069"/>
    <w:rsid w:val="00B65571"/>
    <w:rsid w:val="00B658A8"/>
    <w:rsid w:val="00B757FF"/>
    <w:rsid w:val="00B80993"/>
    <w:rsid w:val="00B8358E"/>
    <w:rsid w:val="00B84034"/>
    <w:rsid w:val="00B85965"/>
    <w:rsid w:val="00B877EA"/>
    <w:rsid w:val="00B8784E"/>
    <w:rsid w:val="00BA07A8"/>
    <w:rsid w:val="00BA1E55"/>
    <w:rsid w:val="00BA7BF9"/>
    <w:rsid w:val="00BB21EB"/>
    <w:rsid w:val="00BC61E3"/>
    <w:rsid w:val="00BD0612"/>
    <w:rsid w:val="00BD0FB5"/>
    <w:rsid w:val="00BE230B"/>
    <w:rsid w:val="00BE26F0"/>
    <w:rsid w:val="00BE26F2"/>
    <w:rsid w:val="00BE3257"/>
    <w:rsid w:val="00BE3380"/>
    <w:rsid w:val="00BE6B56"/>
    <w:rsid w:val="00BF1BE5"/>
    <w:rsid w:val="00BF3C30"/>
    <w:rsid w:val="00BF473D"/>
    <w:rsid w:val="00C0193E"/>
    <w:rsid w:val="00C02393"/>
    <w:rsid w:val="00C07A12"/>
    <w:rsid w:val="00C12213"/>
    <w:rsid w:val="00C127E4"/>
    <w:rsid w:val="00C13006"/>
    <w:rsid w:val="00C1392A"/>
    <w:rsid w:val="00C16353"/>
    <w:rsid w:val="00C16F3C"/>
    <w:rsid w:val="00C237EB"/>
    <w:rsid w:val="00C252C4"/>
    <w:rsid w:val="00C31BD6"/>
    <w:rsid w:val="00C3749B"/>
    <w:rsid w:val="00C405F6"/>
    <w:rsid w:val="00C413D9"/>
    <w:rsid w:val="00C4252B"/>
    <w:rsid w:val="00C47005"/>
    <w:rsid w:val="00C5008D"/>
    <w:rsid w:val="00C51ABB"/>
    <w:rsid w:val="00C56F09"/>
    <w:rsid w:val="00C623ED"/>
    <w:rsid w:val="00C6332D"/>
    <w:rsid w:val="00C63D00"/>
    <w:rsid w:val="00C71168"/>
    <w:rsid w:val="00C731F7"/>
    <w:rsid w:val="00C82667"/>
    <w:rsid w:val="00C83AFC"/>
    <w:rsid w:val="00C85660"/>
    <w:rsid w:val="00C85709"/>
    <w:rsid w:val="00C8659C"/>
    <w:rsid w:val="00C90756"/>
    <w:rsid w:val="00C9232A"/>
    <w:rsid w:val="00C94217"/>
    <w:rsid w:val="00CA1DBC"/>
    <w:rsid w:val="00CA6258"/>
    <w:rsid w:val="00CA6983"/>
    <w:rsid w:val="00CB6967"/>
    <w:rsid w:val="00CC2992"/>
    <w:rsid w:val="00CC60EC"/>
    <w:rsid w:val="00CD02EA"/>
    <w:rsid w:val="00CD2FD7"/>
    <w:rsid w:val="00CD6A82"/>
    <w:rsid w:val="00CF13BC"/>
    <w:rsid w:val="00CF2600"/>
    <w:rsid w:val="00CF3A43"/>
    <w:rsid w:val="00CF4154"/>
    <w:rsid w:val="00CF47C2"/>
    <w:rsid w:val="00D05890"/>
    <w:rsid w:val="00D07B80"/>
    <w:rsid w:val="00D12CEC"/>
    <w:rsid w:val="00D1433B"/>
    <w:rsid w:val="00D2516E"/>
    <w:rsid w:val="00D26063"/>
    <w:rsid w:val="00D27713"/>
    <w:rsid w:val="00D30152"/>
    <w:rsid w:val="00D305D1"/>
    <w:rsid w:val="00D31717"/>
    <w:rsid w:val="00D31C71"/>
    <w:rsid w:val="00D341B4"/>
    <w:rsid w:val="00D34FE0"/>
    <w:rsid w:val="00D36C67"/>
    <w:rsid w:val="00D40125"/>
    <w:rsid w:val="00D40D1E"/>
    <w:rsid w:val="00D4775D"/>
    <w:rsid w:val="00D515D2"/>
    <w:rsid w:val="00D54243"/>
    <w:rsid w:val="00D55C79"/>
    <w:rsid w:val="00D71CE5"/>
    <w:rsid w:val="00D73538"/>
    <w:rsid w:val="00D74682"/>
    <w:rsid w:val="00D74A87"/>
    <w:rsid w:val="00D8441D"/>
    <w:rsid w:val="00D85433"/>
    <w:rsid w:val="00D877D3"/>
    <w:rsid w:val="00D905E7"/>
    <w:rsid w:val="00D9400E"/>
    <w:rsid w:val="00DA1A8B"/>
    <w:rsid w:val="00DB15FC"/>
    <w:rsid w:val="00DB6324"/>
    <w:rsid w:val="00DB70A5"/>
    <w:rsid w:val="00DC127B"/>
    <w:rsid w:val="00DC46DA"/>
    <w:rsid w:val="00DC505D"/>
    <w:rsid w:val="00DC7FC0"/>
    <w:rsid w:val="00DD4E2B"/>
    <w:rsid w:val="00DD5F8B"/>
    <w:rsid w:val="00DD6C58"/>
    <w:rsid w:val="00DE2BBF"/>
    <w:rsid w:val="00DF3943"/>
    <w:rsid w:val="00DF3946"/>
    <w:rsid w:val="00DF732A"/>
    <w:rsid w:val="00E00033"/>
    <w:rsid w:val="00E04783"/>
    <w:rsid w:val="00E05B89"/>
    <w:rsid w:val="00E063C7"/>
    <w:rsid w:val="00E10638"/>
    <w:rsid w:val="00E1412B"/>
    <w:rsid w:val="00E20A0B"/>
    <w:rsid w:val="00E22BFE"/>
    <w:rsid w:val="00E25259"/>
    <w:rsid w:val="00E3020F"/>
    <w:rsid w:val="00E314CC"/>
    <w:rsid w:val="00E43037"/>
    <w:rsid w:val="00E4408D"/>
    <w:rsid w:val="00E46DA7"/>
    <w:rsid w:val="00E52636"/>
    <w:rsid w:val="00E55DDB"/>
    <w:rsid w:val="00E579CA"/>
    <w:rsid w:val="00E57BBA"/>
    <w:rsid w:val="00E61F91"/>
    <w:rsid w:val="00E70897"/>
    <w:rsid w:val="00E75C9D"/>
    <w:rsid w:val="00E766A0"/>
    <w:rsid w:val="00E851C2"/>
    <w:rsid w:val="00E87C1C"/>
    <w:rsid w:val="00E87FC7"/>
    <w:rsid w:val="00E90DAD"/>
    <w:rsid w:val="00E91DED"/>
    <w:rsid w:val="00EA0C2C"/>
    <w:rsid w:val="00EA1D68"/>
    <w:rsid w:val="00EB169C"/>
    <w:rsid w:val="00EB22EB"/>
    <w:rsid w:val="00EB62A0"/>
    <w:rsid w:val="00EC12B8"/>
    <w:rsid w:val="00EC5CFD"/>
    <w:rsid w:val="00ED20B2"/>
    <w:rsid w:val="00ED32AC"/>
    <w:rsid w:val="00EE093C"/>
    <w:rsid w:val="00EE271B"/>
    <w:rsid w:val="00EE3555"/>
    <w:rsid w:val="00EE42BE"/>
    <w:rsid w:val="00EF32B4"/>
    <w:rsid w:val="00EF4E2A"/>
    <w:rsid w:val="00EF5BFE"/>
    <w:rsid w:val="00EF73D8"/>
    <w:rsid w:val="00F07213"/>
    <w:rsid w:val="00F0758E"/>
    <w:rsid w:val="00F112D3"/>
    <w:rsid w:val="00F15827"/>
    <w:rsid w:val="00F33C45"/>
    <w:rsid w:val="00F34888"/>
    <w:rsid w:val="00F40127"/>
    <w:rsid w:val="00F40FA0"/>
    <w:rsid w:val="00F41586"/>
    <w:rsid w:val="00F422B7"/>
    <w:rsid w:val="00F52D90"/>
    <w:rsid w:val="00F55270"/>
    <w:rsid w:val="00F62BE9"/>
    <w:rsid w:val="00F666C4"/>
    <w:rsid w:val="00F70A25"/>
    <w:rsid w:val="00F72617"/>
    <w:rsid w:val="00F757B6"/>
    <w:rsid w:val="00F80DCD"/>
    <w:rsid w:val="00F81B01"/>
    <w:rsid w:val="00F8294C"/>
    <w:rsid w:val="00F85E8A"/>
    <w:rsid w:val="00F87813"/>
    <w:rsid w:val="00F91314"/>
    <w:rsid w:val="00F92868"/>
    <w:rsid w:val="00F96942"/>
    <w:rsid w:val="00FA0855"/>
    <w:rsid w:val="00FA09FC"/>
    <w:rsid w:val="00FA4212"/>
    <w:rsid w:val="00FA4F09"/>
    <w:rsid w:val="00FB18EA"/>
    <w:rsid w:val="00FB1F23"/>
    <w:rsid w:val="00FC04C8"/>
    <w:rsid w:val="00FC1BEC"/>
    <w:rsid w:val="00FC318B"/>
    <w:rsid w:val="00FC43A1"/>
    <w:rsid w:val="00FD4ADB"/>
    <w:rsid w:val="00FD583F"/>
    <w:rsid w:val="00FD6492"/>
    <w:rsid w:val="00FE004E"/>
    <w:rsid w:val="00FE38BC"/>
    <w:rsid w:val="00FE4723"/>
    <w:rsid w:val="00FE4ED5"/>
    <w:rsid w:val="00FE5BC3"/>
    <w:rsid w:val="00FE5CA7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5F1D4-0119-40F3-B834-2B5AA48F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297E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Nadpis1">
    <w:name w:val="heading 1"/>
    <w:basedOn w:val="Normln"/>
    <w:next w:val="Normln"/>
    <w:link w:val="Nadpis1Char"/>
    <w:uiPriority w:val="99"/>
    <w:qFormat/>
    <w:rsid w:val="00D4775D"/>
    <w:pPr>
      <w:keepNext/>
      <w:outlineLvl w:val="0"/>
    </w:pPr>
    <w:rPr>
      <w:rFonts w:ascii="Arial" w:hAnsi="Arial"/>
      <w:b/>
      <w:bCs/>
      <w:i/>
      <w:iCs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4775D"/>
    <w:rPr>
      <w:rFonts w:ascii="Arial" w:eastAsia="Times New Roman" w:hAnsi="Arial" w:cs="Times New Roman"/>
      <w:b/>
      <w:bCs/>
      <w:i/>
      <w:iCs/>
      <w:sz w:val="24"/>
      <w:szCs w:val="24"/>
      <w:lang w:val="en-GB"/>
    </w:rPr>
  </w:style>
  <w:style w:type="paragraph" w:styleId="Nzev">
    <w:name w:val="Title"/>
    <w:basedOn w:val="Normln"/>
    <w:link w:val="NzevChar"/>
    <w:uiPriority w:val="99"/>
    <w:qFormat/>
    <w:rsid w:val="00D4775D"/>
    <w:pPr>
      <w:jc w:val="center"/>
    </w:pPr>
    <w:rPr>
      <w:rFonts w:ascii="Arial" w:hAnsi="Arial"/>
      <w:b/>
      <w:szCs w:val="20"/>
      <w:lang w:val="en-GB"/>
    </w:rPr>
  </w:style>
  <w:style w:type="character" w:customStyle="1" w:styleId="NzevChar">
    <w:name w:val="Název Char"/>
    <w:link w:val="Nzev"/>
    <w:uiPriority w:val="99"/>
    <w:rsid w:val="00D4775D"/>
    <w:rPr>
      <w:rFonts w:ascii="Arial" w:eastAsia="Times New Roman" w:hAnsi="Arial" w:cs="Times New Roman"/>
      <w:b/>
      <w:sz w:val="24"/>
      <w:szCs w:val="20"/>
      <w:lang w:val="en-GB"/>
    </w:rPr>
  </w:style>
  <w:style w:type="paragraph" w:styleId="Podnadpis">
    <w:name w:val="Subtitle"/>
    <w:basedOn w:val="Normln"/>
    <w:link w:val="PodnadpisChar"/>
    <w:uiPriority w:val="11"/>
    <w:qFormat/>
    <w:rsid w:val="00D4775D"/>
    <w:pPr>
      <w:jc w:val="center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D4775D"/>
    <w:rPr>
      <w:rFonts w:ascii="Cambria" w:eastAsia="Times New Roman" w:hAnsi="Cambria" w:cs="Times New Roman"/>
      <w:sz w:val="24"/>
      <w:szCs w:val="24"/>
      <w:lang w:eastAsia="fr-FR"/>
    </w:rPr>
  </w:style>
  <w:style w:type="paragraph" w:styleId="Zhlav">
    <w:name w:val="header"/>
    <w:basedOn w:val="Normln"/>
    <w:link w:val="ZhlavChar"/>
    <w:rsid w:val="00D477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477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pat">
    <w:name w:val="footer"/>
    <w:basedOn w:val="Normln"/>
    <w:link w:val="ZpatChar"/>
    <w:uiPriority w:val="99"/>
    <w:rsid w:val="00D477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4775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lostrnky">
    <w:name w:val="page number"/>
    <w:uiPriority w:val="99"/>
    <w:semiHidden/>
    <w:rsid w:val="00D4775D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D4775D"/>
    <w:pPr>
      <w:jc w:val="both"/>
      <w:outlineLvl w:val="0"/>
    </w:pPr>
    <w:rPr>
      <w:rFonts w:ascii="Arial" w:hAnsi="Arial"/>
      <w:sz w:val="26"/>
      <w:szCs w:val="26"/>
      <w:lang w:val="en-GB"/>
    </w:rPr>
  </w:style>
  <w:style w:type="character" w:customStyle="1" w:styleId="Zkladntext3Char">
    <w:name w:val="Základní text 3 Char"/>
    <w:link w:val="Zkladntext3"/>
    <w:uiPriority w:val="99"/>
    <w:semiHidden/>
    <w:rsid w:val="00D4775D"/>
    <w:rPr>
      <w:rFonts w:ascii="Arial" w:eastAsia="Times New Roman" w:hAnsi="Arial" w:cs="Times New Roman"/>
      <w:sz w:val="26"/>
      <w:szCs w:val="26"/>
      <w:lang w:val="en-GB"/>
    </w:rPr>
  </w:style>
  <w:style w:type="paragraph" w:styleId="Odstavecseseznamem">
    <w:name w:val="List Paragraph"/>
    <w:basedOn w:val="Normln"/>
    <w:uiPriority w:val="34"/>
    <w:qFormat/>
    <w:rsid w:val="00D477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616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6165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D74A87"/>
    <w:rPr>
      <w:strike w:val="0"/>
      <w:dstrike w:val="0"/>
      <w:color w:val="003A84"/>
      <w:u w:val="none"/>
      <w:effect w:val="none"/>
    </w:rPr>
  </w:style>
  <w:style w:type="character" w:styleId="Siln">
    <w:name w:val="Strong"/>
    <w:uiPriority w:val="22"/>
    <w:qFormat/>
    <w:rsid w:val="00D74A87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DD5F8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DD5F8B"/>
    <w:rPr>
      <w:sz w:val="22"/>
      <w:szCs w:val="21"/>
      <w:lang w:eastAsia="en-US"/>
    </w:rPr>
  </w:style>
  <w:style w:type="paragraph" w:styleId="Bezmezer">
    <w:name w:val="No Spacing"/>
    <w:uiPriority w:val="1"/>
    <w:qFormat/>
    <w:rsid w:val="00095874"/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BULLET1INDENTATI">
    <w:name w:val="BULLET 1 / INDENTATI"/>
    <w:rsid w:val="00C71168"/>
    <w:pPr>
      <w:tabs>
        <w:tab w:val="left" w:pos="567"/>
      </w:tabs>
      <w:spacing w:line="240" w:lineRule="exact"/>
      <w:ind w:left="567" w:hanging="567"/>
      <w:jc w:val="both"/>
    </w:pPr>
    <w:rPr>
      <w:rFonts w:ascii="Arial" w:eastAsia="Times New Roman" w:hAnsi="Arial"/>
      <w:lang w:val="en-US" w:eastAsia="en-US"/>
    </w:rPr>
  </w:style>
  <w:style w:type="character" w:styleId="Odkaznakoment">
    <w:name w:val="annotation reference"/>
    <w:uiPriority w:val="99"/>
    <w:semiHidden/>
    <w:unhideWhenUsed/>
    <w:rsid w:val="000170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0E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170E5"/>
    <w:rPr>
      <w:rFonts w:ascii="Times New Roman" w:eastAsia="Times New Roman" w:hAnsi="Times New Roman"/>
      <w:lang w:val="fr-FR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0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170E5"/>
    <w:rPr>
      <w:rFonts w:ascii="Times New Roman" w:eastAsia="Times New Roman" w:hAnsi="Times New Roman"/>
      <w:b/>
      <w:bCs/>
      <w:lang w:val="fr-FR" w:eastAsia="fr-FR"/>
    </w:rPr>
  </w:style>
  <w:style w:type="paragraph" w:customStyle="1" w:styleId="Default">
    <w:name w:val="Default"/>
    <w:rsid w:val="00181D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65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50BE9-EAAE-4E5A-8028-AADFABB1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2025</Words>
  <Characters>11952</Characters>
  <Application>Microsoft Office Word</Application>
  <DocSecurity>4</DocSecurity>
  <Lines>99</Lines>
  <Paragraphs>27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COFRAC</Company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Christov Kiril</cp:lastModifiedBy>
  <cp:revision>2</cp:revision>
  <cp:lastPrinted>2016-11-15T16:48:00Z</cp:lastPrinted>
  <dcterms:created xsi:type="dcterms:W3CDTF">2019-02-18T09:28:00Z</dcterms:created>
  <dcterms:modified xsi:type="dcterms:W3CDTF">2019-02-18T09:28:00Z</dcterms:modified>
</cp:coreProperties>
</file>